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FC6" w:rsidRDefault="00772125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 w:rsidRPr="00772125">
        <w:rPr>
          <w:rFonts w:ascii="方正小标宋_GBK" w:eastAsia="方正小标宋_GBK" w:hAnsi="方正小标宋_GBK" w:cs="方正小标宋_GBK" w:hint="eastAsia"/>
          <w:sz w:val="40"/>
          <w:szCs w:val="40"/>
        </w:rPr>
        <w:t>地（市）分局办理的个人提取规定金额以上外币现钞核准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0" w:name="_Toc205928503_WPSOffice_Level1"/>
      <w:r>
        <w:rPr>
          <w:rFonts w:ascii="Times New Roman" w:eastAsia="黑体" w:hAnsi="Times New Roman" w:hint="eastAsia"/>
          <w:sz w:val="28"/>
          <w:szCs w:val="28"/>
        </w:rPr>
        <w:t>基本要素</w:t>
      </w:r>
      <w:bookmarkEnd w:id="0"/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行政许可事项名称及编码</w:t>
      </w:r>
    </w:p>
    <w:p w:rsidR="002E2D54" w:rsidRDefault="006736E5" w:rsidP="006736E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 w:rsidRPr="006736E5">
        <w:rPr>
          <w:rFonts w:ascii="方正仿宋_GBK" w:eastAsia="方正仿宋_GBK" w:hAnsi="方正仿宋_GBK" w:cs="方正仿宋_GBK"/>
          <w:sz w:val="28"/>
          <w:szCs w:val="28"/>
        </w:rPr>
        <w:t>外币现钞提取、出境携带、跨境调运核准【00017110600Y】</w:t>
      </w:r>
    </w:p>
    <w:p w:rsidR="00A93FC6" w:rsidRDefault="00FE19BF" w:rsidP="002E2D5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行政许可事项子项名称及编码</w:t>
      </w:r>
    </w:p>
    <w:p w:rsidR="006736E5" w:rsidRPr="006736E5" w:rsidRDefault="006736E5" w:rsidP="006736E5">
      <w:pPr>
        <w:spacing w:line="360" w:lineRule="auto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 w:rsidRPr="006736E5">
        <w:rPr>
          <w:rFonts w:ascii="方正仿宋_GBK" w:eastAsia="方正仿宋_GBK" w:hAnsi="方正仿宋_GBK" w:cs="方正仿宋_GBK" w:hint="eastAsia"/>
          <w:sz w:val="28"/>
          <w:szCs w:val="28"/>
        </w:rPr>
        <w:t>地（市）分局办理的个人提取规定金额以上外币现钞核准</w:t>
      </w:r>
      <w:r w:rsidRPr="006736E5">
        <w:rPr>
          <w:rFonts w:ascii="方正仿宋_GBK" w:eastAsia="方正仿宋_GBK" w:hAnsi="方正仿宋_GBK" w:cs="方正仿宋_GBK"/>
          <w:sz w:val="28"/>
          <w:szCs w:val="28"/>
        </w:rPr>
        <w:t>【000171106005】</w:t>
      </w:r>
    </w:p>
    <w:p w:rsidR="00A93FC6" w:rsidRDefault="00FE19BF" w:rsidP="002E2D54">
      <w:pPr>
        <w:spacing w:line="360" w:lineRule="auto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行政许可事项业务办理项名称及编码</w:t>
      </w:r>
    </w:p>
    <w:p w:rsidR="006736E5" w:rsidRPr="006736E5" w:rsidRDefault="006736E5" w:rsidP="006736E5">
      <w:pPr>
        <w:spacing w:line="360" w:lineRule="auto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 w:rsidRPr="006736E5">
        <w:rPr>
          <w:rFonts w:ascii="方正仿宋_GBK" w:eastAsia="方正仿宋_GBK" w:hAnsi="方正仿宋_GBK" w:cs="方正仿宋_GBK" w:hint="eastAsia"/>
          <w:sz w:val="28"/>
          <w:szCs w:val="28"/>
        </w:rPr>
        <w:t>地（市）分局办理的个人提取规定金额以上外币现钞核准</w:t>
      </w:r>
      <w:r w:rsidRPr="006736E5">
        <w:rPr>
          <w:rFonts w:ascii="方正仿宋_GBK" w:eastAsia="方正仿宋_GBK" w:hAnsi="方正仿宋_GBK" w:cs="方正仿宋_GBK"/>
          <w:sz w:val="28"/>
          <w:szCs w:val="28"/>
        </w:rPr>
        <w:t>(00017110600502)</w:t>
      </w:r>
    </w:p>
    <w:p w:rsidR="00A93FC6" w:rsidRDefault="00FE19BF" w:rsidP="00102015">
      <w:pPr>
        <w:spacing w:line="360" w:lineRule="auto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设定依据</w:t>
      </w:r>
    </w:p>
    <w:p w:rsidR="00A93FC6" w:rsidRDefault="00FE19BF" w:rsidP="0010201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《国务院对确需保留的行政审批项目设定行政许可的决定》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实施依据</w:t>
      </w:r>
    </w:p>
    <w:p w:rsidR="006736E5" w:rsidRPr="006736E5" w:rsidRDefault="006736E5" w:rsidP="006736E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bookmarkStart w:id="1" w:name="_Toc2113965959"/>
      <w:r w:rsidRPr="006736E5">
        <w:rPr>
          <w:rFonts w:ascii="方正仿宋_GBK" w:eastAsia="方正仿宋_GBK" w:hAnsi="方正仿宋_GBK" w:cs="方正仿宋_GBK"/>
          <w:sz w:val="28"/>
          <w:szCs w:val="28"/>
        </w:rPr>
        <w:t>（1）《个人外汇管理办法》（中国人民银行令2006年第3号）第三十四条</w:t>
      </w:r>
    </w:p>
    <w:p w:rsidR="006736E5" w:rsidRPr="006736E5" w:rsidRDefault="006736E5" w:rsidP="006736E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bookmarkStart w:id="2" w:name="_Toc900859965"/>
      <w:r w:rsidRPr="006736E5">
        <w:rPr>
          <w:rFonts w:ascii="方正仿宋_GBK" w:eastAsia="方正仿宋_GBK" w:hAnsi="方正仿宋_GBK" w:cs="方正仿宋_GBK"/>
          <w:sz w:val="28"/>
          <w:szCs w:val="28"/>
        </w:rPr>
        <w:t>（2）</w:t>
      </w:r>
      <w:bookmarkEnd w:id="2"/>
      <w:r w:rsidRPr="006736E5">
        <w:rPr>
          <w:rFonts w:ascii="方正仿宋_GBK" w:eastAsia="方正仿宋_GBK" w:hAnsi="方正仿宋_GBK" w:cs="方正仿宋_GBK"/>
          <w:sz w:val="28"/>
          <w:szCs w:val="28"/>
        </w:rPr>
        <w:t>《个人外汇管理办法实施细则》（汇发〔2007〕1号文印发）第三十条</w:t>
      </w:r>
      <w:bookmarkEnd w:id="1"/>
    </w:p>
    <w:p w:rsidR="006736E5" w:rsidRPr="006736E5" w:rsidRDefault="006736E5" w:rsidP="006736E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bookmarkStart w:id="3" w:name="_Toc1389381486"/>
      <w:r w:rsidRPr="006736E5">
        <w:rPr>
          <w:rFonts w:ascii="方正仿宋_GBK" w:eastAsia="方正仿宋_GBK" w:hAnsi="方正仿宋_GBK" w:cs="方正仿宋_GBK"/>
          <w:sz w:val="28"/>
          <w:szCs w:val="28"/>
        </w:rPr>
        <w:t>（3）《经常项目外汇业务指引（2020年版）》（汇发〔2020〕14号文印发）第八十六条</w:t>
      </w:r>
      <w:bookmarkEnd w:id="3"/>
    </w:p>
    <w:p w:rsidR="006736E5" w:rsidRDefault="006736E5" w:rsidP="006736E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bookmarkStart w:id="4" w:name="_Toc117847847"/>
      <w:r w:rsidRPr="006736E5">
        <w:rPr>
          <w:rFonts w:ascii="方正仿宋_GBK" w:eastAsia="方正仿宋_GBK" w:hAnsi="方正仿宋_GBK" w:cs="方正仿宋_GBK"/>
          <w:sz w:val="28"/>
          <w:szCs w:val="28"/>
        </w:rPr>
        <w:t>（4）《国家外汇管理局行政许可实施办法》（国家外汇管理局公告2021年第1号）</w:t>
      </w:r>
      <w:bookmarkEnd w:id="4"/>
      <w:r w:rsidRPr="006736E5">
        <w:rPr>
          <w:rFonts w:ascii="方正仿宋_GBK" w:eastAsia="方正仿宋_GBK" w:hAnsi="方正仿宋_GBK" w:cs="方正仿宋_GBK"/>
          <w:sz w:val="28"/>
          <w:szCs w:val="28"/>
        </w:rPr>
        <w:t>全文</w:t>
      </w:r>
    </w:p>
    <w:p w:rsidR="00A93FC6" w:rsidRDefault="00FE19BF" w:rsidP="006736E5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监管依据</w:t>
      </w:r>
    </w:p>
    <w:p w:rsidR="00A93FC6" w:rsidRDefault="00FE19BF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《中华人民共和国外汇管理条例》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权力来源：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法定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/>
          <w:b/>
          <w:bCs/>
          <w:sz w:val="28"/>
          <w:szCs w:val="28"/>
        </w:rPr>
        <w:t>实施机关：</w:t>
      </w:r>
      <w:r w:rsidR="002E2D54" w:rsidRPr="002E2D54">
        <w:rPr>
          <w:rFonts w:ascii="方正仿宋_GBK" w:eastAsia="方正仿宋_GBK" w:hAnsi="方正仿宋_GBK" w:cs="方正仿宋_GBK" w:hint="eastAsia"/>
          <w:sz w:val="28"/>
          <w:szCs w:val="28"/>
        </w:rPr>
        <w:t>国家外汇管理局市分局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/>
          <w:b/>
          <w:bCs/>
          <w:sz w:val="28"/>
          <w:szCs w:val="28"/>
        </w:rPr>
        <w:t>实施主体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="002E2D54" w:rsidRPr="002E2D54">
        <w:rPr>
          <w:rFonts w:ascii="方正仿宋_GBK" w:eastAsia="方正仿宋_GBK" w:hAnsi="方正仿宋_GBK" w:cs="方正仿宋_GBK" w:hint="eastAsia"/>
          <w:sz w:val="28"/>
          <w:szCs w:val="28"/>
        </w:rPr>
        <w:t>国家外汇管理局市分局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实施主体性质：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法定机关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>
        <w:rPr>
          <w:rFonts w:ascii="Times New Roman" w:eastAsia="仿宋GB2312" w:hAnsi="Times New Roman"/>
          <w:b/>
          <w:bCs/>
          <w:sz w:val="28"/>
          <w:szCs w:val="28"/>
        </w:rPr>
        <w:t>审批层级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国家级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12.</w:t>
      </w:r>
      <w:r>
        <w:rPr>
          <w:rFonts w:ascii="Times New Roman" w:eastAsia="仿宋GB2312" w:hAnsi="Times New Roman"/>
          <w:b/>
          <w:bCs/>
          <w:sz w:val="28"/>
          <w:szCs w:val="28"/>
        </w:rPr>
        <w:t>行使层级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="002E2D54" w:rsidRPr="002E2D54">
        <w:rPr>
          <w:rFonts w:ascii="方正仿宋_GBK" w:eastAsia="方正仿宋_GBK" w:hAnsi="方正仿宋_GBK" w:cs="方正仿宋_GBK" w:hint="eastAsia"/>
          <w:sz w:val="28"/>
          <w:szCs w:val="28"/>
        </w:rPr>
        <w:t>市</w:t>
      </w:r>
      <w:r>
        <w:rPr>
          <w:rFonts w:ascii="方正仿宋_GBK" w:eastAsia="方正仿宋_GBK" w:hAnsi="方正仿宋_GBK" w:cs="方正仿宋_GBK"/>
          <w:sz w:val="28"/>
          <w:szCs w:val="28"/>
        </w:rPr>
        <w:t>级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13.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是否由审批机关受理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是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14.</w:t>
      </w:r>
      <w:r>
        <w:rPr>
          <w:rFonts w:ascii="Times New Roman" w:eastAsia="仿宋GB2312" w:hAnsi="Times New Roman"/>
          <w:b/>
          <w:bCs/>
          <w:sz w:val="28"/>
          <w:szCs w:val="28"/>
        </w:rPr>
        <w:t>受理层级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 w:rsidR="002E2D54" w:rsidRPr="002E2D54">
        <w:rPr>
          <w:rFonts w:ascii="方正仿宋_GBK" w:eastAsia="方正仿宋_GBK" w:hAnsi="方正仿宋_GBK" w:cs="方正仿宋_GBK" w:hint="eastAsia"/>
          <w:sz w:val="28"/>
          <w:szCs w:val="28"/>
        </w:rPr>
        <w:t>市</w:t>
      </w:r>
      <w:r w:rsidR="002E2D54">
        <w:rPr>
          <w:rFonts w:ascii="方正仿宋_GBK" w:eastAsia="方正仿宋_GBK" w:hAnsi="方正仿宋_GBK" w:cs="方正仿宋_GBK"/>
          <w:sz w:val="28"/>
          <w:szCs w:val="28"/>
        </w:rPr>
        <w:t>级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是否存在初审环节：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初审层级：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5" w:name="_Toc70821178_WPSOffice_Level1"/>
      <w:r>
        <w:rPr>
          <w:rFonts w:ascii="Times New Roman" w:eastAsia="黑体" w:hAnsi="Times New Roman" w:hint="eastAsia"/>
          <w:sz w:val="28"/>
          <w:szCs w:val="28"/>
        </w:rPr>
        <w:t>行政许可事项类型</w:t>
      </w:r>
      <w:bookmarkEnd w:id="5"/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条件型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6" w:name="_Toc590100523_WPSOffice_Level1"/>
      <w:r>
        <w:rPr>
          <w:rFonts w:ascii="Times New Roman" w:eastAsia="黑体" w:hAnsi="Times New Roman" w:hint="eastAsia"/>
          <w:sz w:val="28"/>
          <w:szCs w:val="28"/>
        </w:rPr>
        <w:t>行政许可条件</w:t>
      </w:r>
      <w:bookmarkEnd w:id="6"/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准予行政许可的条件</w:t>
      </w:r>
    </w:p>
    <w:p w:rsidR="002E2D54" w:rsidRPr="006736E5" w:rsidRDefault="006736E5" w:rsidP="006736E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 w:rsidRPr="006736E5">
        <w:rPr>
          <w:rFonts w:ascii="方正仿宋_GBK" w:eastAsia="方正仿宋_GBK" w:hAnsi="方正仿宋_GBK" w:cs="方正仿宋_GBK" w:hint="eastAsia"/>
          <w:sz w:val="28"/>
          <w:szCs w:val="28"/>
        </w:rPr>
        <w:t>申请人为确有需要提取超过等值1万美元以上外币现钞的出境赴战乱、外汇管制严格、金融条件差或金融动乱的国家（或地区）的个人。</w:t>
      </w:r>
    </w:p>
    <w:p w:rsidR="00A93FC6" w:rsidRDefault="00FE19BF" w:rsidP="002E2D5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规定行政许可条件的依据</w:t>
      </w:r>
    </w:p>
    <w:p w:rsidR="006736E5" w:rsidRPr="006736E5" w:rsidRDefault="00FE19BF" w:rsidP="006736E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（1）</w:t>
      </w:r>
      <w:r w:rsidR="006736E5" w:rsidRPr="006736E5">
        <w:rPr>
          <w:rFonts w:ascii="方正仿宋_GBK" w:eastAsia="方正仿宋_GBK" w:hAnsi="方正仿宋_GBK" w:cs="方正仿宋_GBK"/>
          <w:sz w:val="28"/>
          <w:szCs w:val="28"/>
        </w:rPr>
        <w:t>《个人外汇管理办法》（中国人民银行令2006年第3号）第三十四条</w:t>
      </w:r>
    </w:p>
    <w:p w:rsidR="006736E5" w:rsidRPr="006736E5" w:rsidRDefault="006736E5" w:rsidP="006736E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 w:rsidRPr="006736E5">
        <w:rPr>
          <w:rFonts w:ascii="方正仿宋_GBK" w:eastAsia="方正仿宋_GBK" w:hAnsi="方正仿宋_GBK" w:cs="方正仿宋_GBK"/>
          <w:sz w:val="28"/>
          <w:szCs w:val="28"/>
        </w:rPr>
        <w:t>（2）《个人外汇管理办法实施细则》（汇发〔2007〕1号文印发）第三十条</w:t>
      </w:r>
    </w:p>
    <w:p w:rsidR="00A93FC6" w:rsidRDefault="006736E5" w:rsidP="006736E5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 w:rsidRPr="006736E5">
        <w:rPr>
          <w:rFonts w:ascii="方正仿宋_GBK" w:eastAsia="方正仿宋_GBK" w:hAnsi="方正仿宋_GBK" w:cs="方正仿宋_GBK"/>
          <w:sz w:val="28"/>
          <w:szCs w:val="28"/>
        </w:rPr>
        <w:t>（3）《经常项目外汇业务指引（2020年版）》（汇发〔2020〕14号文印发）第八十六条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受理条件</w:t>
      </w:r>
    </w:p>
    <w:p w:rsidR="00A93FC6" w:rsidRDefault="00FE19BF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申请材料齐全、符合法定形式。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7" w:name="_Toc1509240106_WPSOffice_Level1"/>
      <w:r>
        <w:rPr>
          <w:rFonts w:ascii="Times New Roman" w:eastAsia="黑体" w:hAnsi="Times New Roman"/>
          <w:sz w:val="28"/>
          <w:szCs w:val="28"/>
        </w:rPr>
        <w:t>行政许可服务对象类型</w:t>
      </w:r>
      <w:r>
        <w:rPr>
          <w:rFonts w:ascii="Times New Roman" w:eastAsia="黑体" w:hAnsi="Times New Roman" w:hint="eastAsia"/>
          <w:sz w:val="28"/>
          <w:szCs w:val="28"/>
        </w:rPr>
        <w:t>与改革举措</w:t>
      </w:r>
      <w:bookmarkEnd w:id="7"/>
    </w:p>
    <w:p w:rsidR="00A93FC6" w:rsidRDefault="00FE19BF">
      <w:pPr>
        <w:numPr>
          <w:ilvl w:val="0"/>
          <w:numId w:val="2"/>
        </w:num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服务对象类型：</w:t>
      </w:r>
      <w:r>
        <w:rPr>
          <w:rFonts w:ascii="方正仿宋_GBK" w:eastAsia="方正仿宋_GBK" w:hAnsi="方正仿宋_GBK" w:cs="方正仿宋_GBK"/>
          <w:sz w:val="28"/>
          <w:szCs w:val="28"/>
        </w:rPr>
        <w:t>企业法人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是否为涉企许可事项：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涉企经营许可事项名称：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许可证件名称：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改革方式：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spacing w:line="54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具体改革举措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spacing w:line="54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加强事中事后监管措施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1.开展“双随机、一公开”监管，依法查处违规行为，适时公开相关案例。2.依法及时处理投诉举报。3.开展数据统计与监测，掌握外汇业务情况。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8" w:name="_Toc1561626744_WPSOffice_Level1"/>
      <w:r>
        <w:rPr>
          <w:rFonts w:ascii="Times New Roman" w:eastAsia="黑体" w:hAnsi="Times New Roman" w:hint="eastAsia"/>
          <w:sz w:val="28"/>
          <w:szCs w:val="28"/>
        </w:rPr>
        <w:t>申请材料</w:t>
      </w:r>
      <w:bookmarkEnd w:id="8"/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申请材料名称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6"/>
        <w:gridCol w:w="2665"/>
        <w:gridCol w:w="1561"/>
        <w:gridCol w:w="1705"/>
        <w:gridCol w:w="1705"/>
      </w:tblGrid>
      <w:tr w:rsidR="006736E5" w:rsidRPr="006736E5" w:rsidTr="006736E5">
        <w:trPr>
          <w:trHeight w:val="410"/>
        </w:trPr>
        <w:tc>
          <w:tcPr>
            <w:tcW w:w="886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 w:rsidRPr="006736E5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665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 w:rsidRPr="006736E5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提交材料名称</w:t>
            </w:r>
          </w:p>
        </w:tc>
        <w:tc>
          <w:tcPr>
            <w:tcW w:w="1561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 w:rsidRPr="006736E5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原件/复印件</w:t>
            </w:r>
          </w:p>
        </w:tc>
        <w:tc>
          <w:tcPr>
            <w:tcW w:w="1705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 w:rsidRPr="006736E5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份数</w:t>
            </w:r>
          </w:p>
        </w:tc>
        <w:tc>
          <w:tcPr>
            <w:tcW w:w="1705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  <w:r w:rsidRPr="006736E5"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  <w:t>纸质/电子</w:t>
            </w:r>
          </w:p>
        </w:tc>
      </w:tr>
      <w:tr w:rsidR="006736E5" w:rsidRPr="006736E5" w:rsidTr="006736E5">
        <w:tc>
          <w:tcPr>
            <w:tcW w:w="886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2665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 w:hint="eastAsia"/>
                <w:szCs w:val="21"/>
              </w:rPr>
              <w:t>本人有效身份证件</w:t>
            </w:r>
          </w:p>
        </w:tc>
        <w:tc>
          <w:tcPr>
            <w:tcW w:w="1561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 w:hint="eastAsia"/>
                <w:szCs w:val="21"/>
              </w:rPr>
              <w:t>原件或加盖签章的复印件</w:t>
            </w:r>
          </w:p>
        </w:tc>
        <w:tc>
          <w:tcPr>
            <w:tcW w:w="1705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1705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 w:hint="eastAsia"/>
                <w:szCs w:val="21"/>
              </w:rPr>
              <w:t>纸质</w:t>
            </w:r>
          </w:p>
        </w:tc>
      </w:tr>
      <w:tr w:rsidR="006736E5" w:rsidRPr="006736E5" w:rsidTr="006736E5">
        <w:trPr>
          <w:trHeight w:val="414"/>
        </w:trPr>
        <w:tc>
          <w:tcPr>
            <w:tcW w:w="886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2665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/>
                <w:szCs w:val="21"/>
              </w:rPr>
              <w:t>加盖签章的提钞用途材料</w:t>
            </w:r>
          </w:p>
        </w:tc>
        <w:tc>
          <w:tcPr>
            <w:tcW w:w="1561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/>
                <w:szCs w:val="21"/>
              </w:rPr>
              <w:t>复印件</w:t>
            </w:r>
            <w:r w:rsidRPr="006736E5">
              <w:rPr>
                <w:rFonts w:ascii="仿宋" w:eastAsia="仿宋" w:hAnsi="仿宋" w:cs="仿宋" w:hint="eastAsia"/>
                <w:szCs w:val="21"/>
              </w:rPr>
              <w:t>（其中,申请书需为原件）</w:t>
            </w:r>
          </w:p>
        </w:tc>
        <w:tc>
          <w:tcPr>
            <w:tcW w:w="1705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/>
                <w:szCs w:val="21"/>
              </w:rPr>
              <w:t>1</w:t>
            </w:r>
          </w:p>
        </w:tc>
        <w:tc>
          <w:tcPr>
            <w:tcW w:w="1705" w:type="dxa"/>
            <w:vAlign w:val="center"/>
          </w:tcPr>
          <w:p w:rsidR="006736E5" w:rsidRPr="006736E5" w:rsidRDefault="006736E5" w:rsidP="006736E5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6736E5">
              <w:rPr>
                <w:rFonts w:ascii="仿宋" w:eastAsia="仿宋" w:hAnsi="仿宋" w:cs="仿宋" w:hint="eastAsia"/>
                <w:szCs w:val="21"/>
              </w:rPr>
              <w:t>纸质</w:t>
            </w:r>
          </w:p>
        </w:tc>
      </w:tr>
    </w:tbl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规定申请材料的依据</w:t>
      </w:r>
    </w:p>
    <w:p w:rsidR="00A93FC6" w:rsidRDefault="00FE19BF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（1）《经常项目外汇业务指引（2020年版）》（汇发〔2020〕14号文印发）第</w:t>
      </w:r>
      <w:r w:rsidR="006736E5" w:rsidRPr="006736E5">
        <w:rPr>
          <w:rFonts w:ascii="方正仿宋_GBK" w:eastAsia="方正仿宋_GBK" w:hAnsi="方正仿宋_GBK" w:cs="方正仿宋_GBK"/>
          <w:sz w:val="28"/>
          <w:szCs w:val="28"/>
        </w:rPr>
        <w:t>第八十六条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9" w:name="_Toc582359425_WPSOffice_Level1"/>
      <w:r>
        <w:rPr>
          <w:rFonts w:ascii="Times New Roman" w:eastAsia="黑体" w:hAnsi="Times New Roman" w:hint="eastAsia"/>
          <w:sz w:val="28"/>
          <w:szCs w:val="28"/>
        </w:rPr>
        <w:t>中介服务</w:t>
      </w:r>
      <w:bookmarkEnd w:id="9"/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有无法定中介服务事项：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中介服务事项名称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设定中介服务事项的依据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提供中介服务的机构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/>
          <w:b/>
          <w:bCs/>
          <w:sz w:val="28"/>
          <w:szCs w:val="28"/>
        </w:rPr>
        <w:t>中介服务事项的收费性质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0" w:name="_Toc2038745556_WPSOffice_Level1"/>
      <w:r>
        <w:rPr>
          <w:rFonts w:ascii="Times New Roman" w:eastAsia="黑体" w:hAnsi="Times New Roman" w:hint="eastAsia"/>
          <w:sz w:val="28"/>
          <w:szCs w:val="28"/>
        </w:rPr>
        <w:t>审批程序</w:t>
      </w:r>
      <w:bookmarkEnd w:id="10"/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办理行政许可的程序环节</w:t>
      </w:r>
    </w:p>
    <w:p w:rsidR="00A93FC6" w:rsidRDefault="00FE19BF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（1）申请人申请；</w:t>
      </w:r>
    </w:p>
    <w:p w:rsidR="00A93FC6" w:rsidRDefault="00FE19BF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（2）审批机构受理/不予受理；</w:t>
      </w:r>
    </w:p>
    <w:p w:rsidR="00A93FC6" w:rsidRDefault="00FE19BF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（3）审批机构审查；</w:t>
      </w:r>
    </w:p>
    <w:p w:rsidR="00A93FC6" w:rsidRDefault="00FE19BF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（4）决定作出许可决定书/不予许可决定书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.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规定行政许可程序的依据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《国家外汇管理局行政许可实施办法》（国家外汇管理局公告第1号）第十条外汇局收到行政许可申请后，应区分下列情况分别作出处理：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（一）申请事项属于本局职责范围，但依法不需要取得行政许可的，应即时告知申请人不受理，出具不予受理行政许可通知书；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（二）申请事项不属于本局职责范围，应即时作出不予受理的决定，出具不予受理行政许可通知书，并告知申请人向有关行政机关申请；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三）申请事项属于本局职责范围，但申请材料不齐全或不符合法定形式的，应当场或在收到申请材料之日起5个工作日内作出要求申请人补正材料的决定，出具补正告知书，一次性告知申请人需要补正的全部内容；逾期不告知的，自收到申请材料之日起即为受理；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申请人拒不补正，或者自补正告知书送达之日起30日内未能提</w:t>
      </w: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交全部且符合法定形式的补正材料的，应不予受理，出具不予受理行政许可通知书；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申请材料存在文字笔误等可当场更正的错误的，应允许申请人当场更正，并告知其在修改处签字或盖章确认；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（四）申请事项属于本局职责范围，申请材料齐全、符合法定形式，或者申请人按照要求提交全部补正申请材料的，应受理行政许可申请，出具行政许可受理通知书。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《国家外汇管理局行政许可实施办法》（国家外汇管理局公告第1号）第十四条外汇局对行政许可申请审查后，应区分下列情况分别作出处理：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（一）申请符合法定条件、拟准予行政许可的，应出具准予行政许可的书面决定。准予行政许可的书面决定应载明名称、出具单位、被许可人姓名或名称、行政许可事项、颁发日期、有效期（如有）等；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（二）申请不符合法定条件、拟不予行政许可的，应出具不予行政许可决定书，并说明不予行政许可的理由，告知申请人享有依法申请行政复议的权利。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是否需要现场勘验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是否需要组织听证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是否需要招标、拍卖、挂牌交易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是否需要检验、检测、检疫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是否需要鉴定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是否需要专家评审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是否需要向社会公示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10.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是否实行告知承诺办理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审批机关是否委托服务机构开展技术性服务：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1" w:name="_Toc1980440012_WPSOffice_Level1"/>
      <w:r>
        <w:rPr>
          <w:rFonts w:ascii="Times New Roman" w:eastAsia="黑体" w:hAnsi="Times New Roman" w:hint="eastAsia"/>
          <w:sz w:val="28"/>
          <w:szCs w:val="28"/>
        </w:rPr>
        <w:t>受理和审批时限</w:t>
      </w:r>
      <w:bookmarkEnd w:id="11"/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承诺受理时限：</w:t>
      </w:r>
      <w:r>
        <w:rPr>
          <w:rFonts w:ascii="方正仿宋_GBK" w:eastAsia="方正仿宋_GBK" w:hAnsi="方正仿宋_GBK" w:cs="方正仿宋_GBK"/>
          <w:sz w:val="28"/>
          <w:szCs w:val="28"/>
        </w:rPr>
        <w:t>5个工作日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法定审批时限：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20工作日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规定法定审批时限依据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《国家外汇管理局行政许可实施办法》（国家外汇管理局公告2021年第1号）第十五条外汇局应根据以下要求确保行政许可依法按时完成：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（一）能当场作出决定的，应当场作出行政许可决定。当场作出行政许可决定的，可不出具行政许可受理通知书；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不能当场作出决定的，应自受理之日起20个工作日内作出决定；20个工作日内不能作出决定的，经本级外汇局局长或者主管副局长批准，可延长10个工作日，并向申请人出具延长行政许可办理期限通知书，说明延长期限的理由。行政许可办理期限只能延长一次。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外汇局征求其他部门意见的时间计算在以上办理时限内；依法需要听证、检验、检测、鉴定、专家评审等的时间，不计算在上述办理时限内。</w:t>
      </w:r>
    </w:p>
    <w:p w:rsidR="00A93FC6" w:rsidRDefault="00FE19BF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各级外汇局对行政许可办理时限具有对外承诺的，应按照其承诺的时限完成；对外承诺的时限应短于20个工作日。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承诺审批时限：</w:t>
      </w:r>
      <w:r>
        <w:rPr>
          <w:rFonts w:ascii="方正仿宋_GBK" w:eastAsia="方正仿宋_GBK" w:hAnsi="方正仿宋_GBK" w:cs="方正仿宋_GBK"/>
          <w:sz w:val="28"/>
          <w:szCs w:val="28"/>
        </w:rPr>
        <w:t>20工作日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2" w:name="_Toc973191296_WPSOffice_Level1"/>
      <w:r>
        <w:rPr>
          <w:rFonts w:ascii="Times New Roman" w:eastAsia="黑体" w:hAnsi="Times New Roman" w:hint="eastAsia"/>
          <w:sz w:val="28"/>
          <w:szCs w:val="28"/>
        </w:rPr>
        <w:t>收费</w:t>
      </w:r>
      <w:bookmarkEnd w:id="12"/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办理行政许可是否收费：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收费项目的名称、收费项目的标准、设定收费项目的依据、规定收费标准的依据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3" w:name="_Toc15138560_WPSOffice_Level1"/>
      <w:r>
        <w:rPr>
          <w:rFonts w:ascii="Times New Roman" w:eastAsia="黑体" w:hAnsi="Times New Roman" w:hint="eastAsia"/>
          <w:sz w:val="28"/>
          <w:szCs w:val="28"/>
        </w:rPr>
        <w:t>行政许可证件</w:t>
      </w:r>
      <w:bookmarkEnd w:id="13"/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审批结果类型：</w:t>
      </w:r>
      <w:r>
        <w:rPr>
          <w:rFonts w:ascii="方正仿宋_GBK" w:eastAsia="方正仿宋_GBK" w:hAnsi="方正仿宋_GBK" w:cs="方正仿宋_GBK"/>
          <w:sz w:val="28"/>
          <w:szCs w:val="28"/>
        </w:rPr>
        <w:t>批文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行政许可证件名称：</w:t>
      </w:r>
      <w:r w:rsidR="006736E5" w:rsidRPr="006736E5">
        <w:rPr>
          <w:rFonts w:ascii="方正仿宋_GBK" w:eastAsia="方正仿宋_GBK" w:hAnsi="方正仿宋_GBK" w:cs="方正仿宋_GBK"/>
          <w:sz w:val="28"/>
          <w:szCs w:val="28"/>
        </w:rPr>
        <w:t>《提取外币现钞备案表》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行政许可证件的有效期限：</w:t>
      </w:r>
      <w:r w:rsidR="00203252">
        <w:rPr>
          <w:rFonts w:ascii="方正仿宋_GBK" w:eastAsia="方正仿宋_GBK" w:hAnsi="方正仿宋_GBK" w:cs="方正仿宋_GBK" w:hint="eastAsia"/>
          <w:sz w:val="28"/>
          <w:szCs w:val="28"/>
        </w:rPr>
        <w:t>原则上不超过1个月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规定行政许可证件有效期限的依据：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是否需要办理审批结果变更手续：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办理审批结果变更手续的要求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是否需要办理审批结果延续手续：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32"/>
          <w:szCs w:val="32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办理审批结果延续手续的要求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审批结果的有效地域范围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全国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规定审批结果有效地域范围的依据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4" w:name="_Toc718725018_WPSOffice_Level1"/>
      <w:r>
        <w:rPr>
          <w:rFonts w:ascii="Times New Roman" w:eastAsia="黑体" w:hAnsi="Times New Roman" w:hint="eastAsia"/>
          <w:sz w:val="28"/>
          <w:szCs w:val="28"/>
        </w:rPr>
        <w:t>行政许可数量限制</w:t>
      </w:r>
      <w:bookmarkEnd w:id="14"/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有无行政许可数量限制：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公布数量限制的周期：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在数量限制条件下实施行政许可的方式：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jc w:val="left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规定在数量限制条件下实施行政许可方式的依据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5" w:name="_Toc1266337716_WPSOffice_Level1"/>
      <w:r>
        <w:rPr>
          <w:rFonts w:ascii="Times New Roman" w:eastAsia="黑体" w:hAnsi="Times New Roman" w:hint="eastAsia"/>
          <w:sz w:val="28"/>
          <w:szCs w:val="28"/>
        </w:rPr>
        <w:t>行政许可后年检</w:t>
      </w:r>
      <w:bookmarkEnd w:id="15"/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有无年检要求：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设定年检要求的依据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年检周期：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年检是否要求报送材料：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年检报送材料名称：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年检是否收费：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年检收费项目的名称、年检收费项目的标准、设定年检收费项目的依据、规定年检项目收费标准的依据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通过年检的证明或者标志：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6" w:name="_Toc175548163_WPSOffice_Level1"/>
      <w:r>
        <w:rPr>
          <w:rFonts w:ascii="Times New Roman" w:eastAsia="黑体" w:hAnsi="Times New Roman" w:hint="eastAsia"/>
          <w:sz w:val="28"/>
          <w:szCs w:val="28"/>
        </w:rPr>
        <w:t>行政许可后年报</w:t>
      </w:r>
      <w:bookmarkEnd w:id="16"/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/>
          <w:b/>
          <w:bCs/>
          <w:sz w:val="28"/>
          <w:szCs w:val="28"/>
        </w:rPr>
        <w:t>有无年报要求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年报报送材料名称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540" w:lineRule="exact"/>
        <w:ind w:firstLineChars="200" w:firstLine="562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设定年报要求的依据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: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年报周期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numPr>
          <w:ilvl w:val="0"/>
          <w:numId w:val="1"/>
        </w:num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7" w:name="_Toc644441883_WPSOffice_Level1"/>
      <w:r>
        <w:rPr>
          <w:rFonts w:ascii="Times New Roman" w:eastAsia="黑体" w:hAnsi="Times New Roman" w:hint="eastAsia"/>
          <w:sz w:val="28"/>
          <w:szCs w:val="28"/>
        </w:rPr>
        <w:t>监管主体</w:t>
      </w:r>
      <w:bookmarkEnd w:id="17"/>
    </w:p>
    <w:p w:rsidR="00A93FC6" w:rsidRDefault="00FE19BF">
      <w:pPr>
        <w:spacing w:line="540" w:lineRule="exact"/>
        <w:ind w:firstLine="420"/>
        <w:outlineLvl w:val="1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国家外汇管理局安徽省分局</w:t>
      </w:r>
    </w:p>
    <w:p w:rsidR="00A93FC6" w:rsidRDefault="00FE19BF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bookmarkStart w:id="18" w:name="_Toc1293375433_WPSOffice_Level1"/>
      <w:r>
        <w:rPr>
          <w:rFonts w:ascii="Times New Roman" w:eastAsia="黑体" w:hAnsi="Times New Roman" w:hint="eastAsia"/>
          <w:sz w:val="28"/>
          <w:szCs w:val="28"/>
        </w:rPr>
        <w:t>十五、业务办理信息</w:t>
      </w:r>
      <w:bookmarkEnd w:id="18"/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是否通办：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仿宋GB2312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通办业务模式：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仿宋GB2312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跨省通办事项名称：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仿宋GB2312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是否是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35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号文中的跨省通办事项：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是否网办：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到办事现场次数：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1</w:t>
      </w:r>
    </w:p>
    <w:p w:rsidR="00A93FC6" w:rsidRDefault="00FE19BF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必须现场办理原因说明：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尚不适合互联网办理</w:t>
      </w:r>
    </w:p>
    <w:p w:rsidR="00203252" w:rsidRDefault="00FE19BF" w:rsidP="00203252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 w:rsidR="00203252" w:rsidRPr="00203252">
        <w:rPr>
          <w:rFonts w:ascii="Times New Roman" w:eastAsia="仿宋GB2312" w:hAnsi="Times New Roman" w:hint="eastAsia"/>
          <w:b/>
          <w:bCs/>
          <w:sz w:val="28"/>
          <w:szCs w:val="28"/>
        </w:rPr>
        <w:t xml:space="preserve"> </w:t>
      </w:r>
      <w:r w:rsidR="00203252">
        <w:rPr>
          <w:rFonts w:ascii="Times New Roman" w:eastAsia="仿宋GB2312" w:hAnsi="Times New Roman" w:hint="eastAsia"/>
          <w:b/>
          <w:bCs/>
          <w:sz w:val="28"/>
          <w:szCs w:val="28"/>
        </w:rPr>
        <w:t>咨询途径、监督和投诉、办公地址和时间、公开查询方式等：</w:t>
      </w:r>
      <w:r w:rsidR="00203252">
        <w:rPr>
          <w:rFonts w:ascii="方正仿宋_GBK" w:eastAsia="方正仿宋_GBK" w:hAnsi="方正仿宋_GBK" w:cs="方正仿宋_GBK" w:hint="eastAsia"/>
          <w:sz w:val="28"/>
          <w:szCs w:val="28"/>
        </w:rPr>
        <w:t>向安徽省分局辖内地市分局进行咨询、进程查询、监督和投诉等可通</w:t>
      </w:r>
      <w:r w:rsidR="00203252">
        <w:rPr>
          <w:rFonts w:ascii="方正仿宋_GBK" w:eastAsia="方正仿宋_GBK" w:hAnsi="方正仿宋_GBK" w:cs="方正仿宋_GBK" w:hint="eastAsia"/>
          <w:sz w:val="28"/>
          <w:szCs w:val="28"/>
        </w:rPr>
        <w:lastRenderedPageBreak/>
        <w:t>过所在地外汇局官方互联网站的相应栏目进行，网址可通过www.safe.gov.cn进行链接，也可通过所在地外汇局官方互联网站上公布的电话进行。</w:t>
      </w:r>
    </w:p>
    <w:p w:rsidR="00203252" w:rsidRDefault="00203252" w:rsidP="0020325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该项行政许可具体由国家外汇管理局安徽省分局所辖地市分局办理，辖内地市分局办公地址和办公时间见http://www.safe.gov.cn/anhui/lxwm/index.html中《国家外汇管理局安徽省分局及辖内分局业务联系方式、办公时间、办公地址一览表》。</w:t>
      </w:r>
    </w:p>
    <w:p w:rsidR="00203252" w:rsidRDefault="00203252" w:rsidP="0020325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 xml:space="preserve"> </w:t>
      </w:r>
    </w:p>
    <w:p w:rsidR="00A93FC6" w:rsidRDefault="00A93FC6" w:rsidP="00203252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</w:p>
    <w:p w:rsidR="00A93FC6" w:rsidRDefault="00FE19BF">
      <w:r>
        <w:br w:type="page"/>
      </w:r>
    </w:p>
    <w:sectPr w:rsidR="00A93FC6" w:rsidSect="00A93FC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3A01" w:rsidRDefault="00E53A01" w:rsidP="00102015">
      <w:pPr>
        <w:ind w:firstLine="560"/>
      </w:pPr>
      <w:r>
        <w:separator/>
      </w:r>
    </w:p>
  </w:endnote>
  <w:endnote w:type="continuationSeparator" w:id="1">
    <w:p w:rsidR="00E53A01" w:rsidRDefault="00E53A01" w:rsidP="00102015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仿宋"/>
    <w:charset w:val="00"/>
    <w:family w:val="auto"/>
    <w:pitch w:val="default"/>
    <w:sig w:usb0="00000000" w:usb1="38CF7CFA" w:usb2="00000016" w:usb3="00000000" w:csb0="0004000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3A01" w:rsidRDefault="00E53A01" w:rsidP="00102015">
      <w:pPr>
        <w:ind w:firstLine="560"/>
      </w:pPr>
      <w:r>
        <w:separator/>
      </w:r>
    </w:p>
  </w:footnote>
  <w:footnote w:type="continuationSeparator" w:id="1">
    <w:p w:rsidR="00E53A01" w:rsidRDefault="00E53A01" w:rsidP="00102015">
      <w:pPr>
        <w:ind w:firstLine="56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FF30B91"/>
    <w:multiLevelType w:val="singleLevel"/>
    <w:tmpl w:val="EFF30B91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65C279AA"/>
    <w:multiLevelType w:val="singleLevel"/>
    <w:tmpl w:val="65C279A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93FC6"/>
    <w:rsid w:val="00102015"/>
    <w:rsid w:val="001A6F57"/>
    <w:rsid w:val="00203252"/>
    <w:rsid w:val="002E2D54"/>
    <w:rsid w:val="006736E5"/>
    <w:rsid w:val="006E3CBD"/>
    <w:rsid w:val="00772125"/>
    <w:rsid w:val="00A3363A"/>
    <w:rsid w:val="00A93FC6"/>
    <w:rsid w:val="00AE0350"/>
    <w:rsid w:val="00E53A01"/>
    <w:rsid w:val="00F135DD"/>
    <w:rsid w:val="00FE1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 w:qFormat="1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A93FC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semiHidden/>
    <w:unhideWhenUsed/>
    <w:rsid w:val="00A93FC6"/>
    <w:pPr>
      <w:ind w:leftChars="400" w:left="840"/>
    </w:pPr>
    <w:rPr>
      <w:rFonts w:hint="eastAsia"/>
    </w:rPr>
  </w:style>
  <w:style w:type="paragraph" w:styleId="a3">
    <w:name w:val="footer"/>
    <w:basedOn w:val="a"/>
    <w:link w:val="Char"/>
    <w:uiPriority w:val="99"/>
    <w:semiHidden/>
    <w:unhideWhenUsed/>
    <w:rsid w:val="00A93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93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93FC6"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93FC6"/>
    <w:rPr>
      <w:rFonts w:ascii="等线" w:eastAsia="等线" w:hAnsi="等线" w:cs="Times New Roman"/>
      <w:sz w:val="18"/>
      <w:szCs w:val="18"/>
    </w:rPr>
  </w:style>
  <w:style w:type="table" w:styleId="a5">
    <w:name w:val="Table Grid"/>
    <w:basedOn w:val="a1"/>
    <w:uiPriority w:val="99"/>
    <w:unhideWhenUsed/>
    <w:qFormat/>
    <w:rsid w:val="006736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526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支付机构经常项目收支登记新办</dc:title>
  <dc:creator>kylin</dc:creator>
  <cp:lastModifiedBy>caixi</cp:lastModifiedBy>
  <cp:revision>4</cp:revision>
  <dcterms:created xsi:type="dcterms:W3CDTF">2023-10-07T06:18:00Z</dcterms:created>
  <dcterms:modified xsi:type="dcterms:W3CDTF">2024-07-16T08:44:00Z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