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sz w:val="40"/>
          <w:szCs w:val="40"/>
        </w:rPr>
        <w:t>省级分局和计划单列市分局办理的</w:t>
      </w:r>
    </w:p>
    <w:p>
      <w:pPr>
        <w:jc w:val="center"/>
        <w:rPr>
          <w:rFonts w:hint="eastAsia"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sz w:val="40"/>
          <w:szCs w:val="40"/>
        </w:rPr>
        <w:t>企业经常项目资金集中和轧差结算</w:t>
      </w:r>
    </w:p>
    <w:p>
      <w:pPr>
        <w:jc w:val="center"/>
        <w:rPr>
          <w:rFonts w:hint="eastAsia"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sz w:val="40"/>
          <w:szCs w:val="40"/>
        </w:rPr>
        <w:t>收支业务登记</w:t>
      </w:r>
    </w:p>
    <w:p>
      <w:pPr>
        <w:jc w:val="center"/>
        <w:rPr>
          <w:rFonts w:ascii="方正小标宋_GBK" w:hAnsi="方正小标宋_GBK" w:eastAsia="方正小标宋_GBK" w:cs="方正小标宋_GBK"/>
          <w:color w:val="000000"/>
          <w:sz w:val="40"/>
          <w:szCs w:val="40"/>
        </w:rPr>
      </w:pPr>
    </w:p>
    <w:p>
      <w:pPr>
        <w:numPr>
          <w:ilvl w:val="0"/>
          <w:numId w:val="1"/>
        </w:numPr>
        <w:spacing w:line="540" w:lineRule="exact"/>
        <w:outlineLvl w:val="1"/>
        <w:rPr>
          <w:rFonts w:ascii="Times New Roman" w:hAnsi="Times New Roman" w:eastAsia="黑体"/>
          <w:color w:val="000000"/>
          <w:sz w:val="28"/>
          <w:szCs w:val="28"/>
        </w:rPr>
      </w:pPr>
      <w:bookmarkStart w:id="0" w:name="_Toc205928503_WPSOffice_Level1"/>
      <w:r>
        <w:rPr>
          <w:rFonts w:hint="eastAsia" w:ascii="Times New Roman" w:hAnsi="Times New Roman" w:eastAsia="黑体"/>
          <w:color w:val="000000"/>
          <w:sz w:val="28"/>
          <w:szCs w:val="28"/>
        </w:rPr>
        <w:t>基本要素</w:t>
      </w:r>
      <w:bookmarkEnd w:id="0"/>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1.行政许可事项名称及编码</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经常项目特定收支业务核准【00017110200Y】</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2.行政许可事项子项名称及编码</w:t>
      </w:r>
    </w:p>
    <w:p>
      <w:pPr>
        <w:spacing w:line="360" w:lineRule="auto"/>
        <w:ind w:firstLine="562"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省级分局和计划单列市分局办理的企业经常项目资金集中和轧差结算收支业务登记【000171102004】</w:t>
      </w:r>
    </w:p>
    <w:p>
      <w:pPr>
        <w:spacing w:line="360" w:lineRule="auto"/>
        <w:ind w:firstLine="562" w:firstLineChars="200"/>
        <w:rPr>
          <w:rFonts w:hint="eastAsia"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3.行政许可事项业务办理项名称及编码</w:t>
      </w:r>
    </w:p>
    <w:p>
      <w:pPr>
        <w:spacing w:line="360" w:lineRule="auto"/>
        <w:ind w:firstLine="562"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1.省级分局和计划单列市分局办理的经常项目资金集中和轧差结算收支业务变更(00017110200401)</w:t>
      </w:r>
    </w:p>
    <w:p>
      <w:pPr>
        <w:spacing w:line="360" w:lineRule="auto"/>
        <w:ind w:firstLine="562"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2.省级分局和计划单列市分局办理的经常项目资金集中和轧差结算收支业务新办(00017110200402)</w:t>
      </w:r>
    </w:p>
    <w:p>
      <w:pPr>
        <w:spacing w:line="360" w:lineRule="auto"/>
        <w:ind w:firstLine="562" w:firstLineChars="200"/>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lang w:val="en-US" w:eastAsia="zh-CN"/>
        </w:rPr>
        <w:t>4.</w:t>
      </w:r>
      <w:r>
        <w:rPr>
          <w:rFonts w:hint="eastAsia" w:ascii="Times New Roman" w:hAnsi="Times New Roman" w:eastAsia="仿宋GB2312"/>
          <w:b/>
          <w:bCs/>
          <w:color w:val="000000"/>
          <w:sz w:val="28"/>
          <w:szCs w:val="28"/>
        </w:rPr>
        <w:t>设定依据</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《国务院对确需保留的行政审批项目设定行政许可的决定》</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lang w:val="en-US" w:eastAsia="zh-CN"/>
        </w:rPr>
        <w:t>5</w:t>
      </w:r>
      <w:r>
        <w:rPr>
          <w:rFonts w:hint="eastAsia" w:ascii="Times New Roman" w:hAnsi="Times New Roman" w:eastAsia="仿宋GB2312"/>
          <w:b/>
          <w:bCs/>
          <w:color w:val="000000"/>
          <w:sz w:val="28"/>
          <w:szCs w:val="28"/>
        </w:rPr>
        <w:t>.实施依据</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（1）《经常项目外汇业务指引（2020年版）》（汇发〔2020〕14号文印发）第一百四十三条</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（2）《跨国公司跨境资金集中运营管理规定》（汇发〔2019〕7号文印发）第五条、第七条</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（3）《国家外汇管理局行政许可实施办法》（国家外汇管理局公告2021年第1号）全文</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lang w:val="en-US" w:eastAsia="zh-CN"/>
        </w:rPr>
        <w:t>6</w:t>
      </w:r>
      <w:r>
        <w:rPr>
          <w:rFonts w:hint="eastAsia" w:ascii="Times New Roman" w:hAnsi="Times New Roman" w:eastAsia="仿宋GB2312"/>
          <w:b/>
          <w:bCs/>
          <w:color w:val="000000"/>
          <w:sz w:val="28"/>
          <w:szCs w:val="28"/>
        </w:rPr>
        <w:t>.监管依据</w:t>
      </w:r>
    </w:p>
    <w:p>
      <w:pPr>
        <w:spacing w:line="540" w:lineRule="exact"/>
        <w:ind w:firstLine="560" w:firstLineChars="200"/>
        <w:outlineLvl w:val="2"/>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《中华人民共和国外汇管理条例》</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lang w:val="en-US" w:eastAsia="zh-CN"/>
        </w:rPr>
        <w:t>7</w:t>
      </w:r>
      <w:r>
        <w:rPr>
          <w:rFonts w:hint="eastAsia" w:ascii="Times New Roman" w:hAnsi="Times New Roman" w:eastAsia="仿宋GB2312"/>
          <w:b/>
          <w:bCs/>
          <w:color w:val="000000"/>
          <w:sz w:val="28"/>
          <w:szCs w:val="28"/>
        </w:rPr>
        <w:t>.权力来源：</w:t>
      </w:r>
      <w:r>
        <w:rPr>
          <w:rFonts w:hint="eastAsia" w:ascii="方正仿宋_GBK" w:hAnsi="方正仿宋_GBK" w:eastAsia="方正仿宋_GBK" w:cs="方正仿宋_GBK"/>
          <w:color w:val="000000"/>
          <w:sz w:val="28"/>
          <w:szCs w:val="28"/>
        </w:rPr>
        <w:t>法定</w:t>
      </w:r>
      <w:bookmarkStart w:id="15" w:name="_GoBack"/>
      <w:bookmarkEnd w:id="15"/>
    </w:p>
    <w:p>
      <w:pPr>
        <w:spacing w:line="540" w:lineRule="exact"/>
        <w:ind w:firstLine="562" w:firstLineChars="200"/>
        <w:outlineLvl w:val="2"/>
        <w:rPr>
          <w:rFonts w:ascii="Times New Roman" w:hAnsi="Times New Roman" w:eastAsia="仿宋GB2312"/>
          <w:b/>
          <w:bCs/>
          <w:color w:val="000000"/>
          <w:sz w:val="28"/>
          <w:szCs w:val="28"/>
          <w:highlight w:val="none"/>
        </w:rPr>
      </w:pPr>
      <w:r>
        <w:rPr>
          <w:rFonts w:hint="eastAsia" w:ascii="Times New Roman" w:hAnsi="Times New Roman" w:eastAsia="仿宋GB2312"/>
          <w:b/>
          <w:bCs/>
          <w:color w:val="000000"/>
          <w:sz w:val="28"/>
          <w:szCs w:val="28"/>
          <w:highlight w:val="none"/>
        </w:rPr>
        <w:t>8.</w:t>
      </w:r>
      <w:r>
        <w:rPr>
          <w:rFonts w:ascii="Times New Roman" w:hAnsi="Times New Roman" w:eastAsia="仿宋GB2312"/>
          <w:b/>
          <w:bCs/>
          <w:color w:val="000000"/>
          <w:sz w:val="28"/>
          <w:szCs w:val="28"/>
          <w:highlight w:val="none"/>
        </w:rPr>
        <w:t>实施机关：</w:t>
      </w:r>
      <w:r>
        <w:rPr>
          <w:rFonts w:hint="eastAsia" w:ascii="方正仿宋_GBK" w:hAnsi="方正仿宋_GBK" w:eastAsia="方正仿宋_GBK" w:cs="方正仿宋_GBK"/>
          <w:color w:val="000000"/>
          <w:sz w:val="28"/>
          <w:szCs w:val="28"/>
          <w:highlight w:val="none"/>
        </w:rPr>
        <w:t>国家外汇局省级分局和计划单列市分局</w:t>
      </w:r>
    </w:p>
    <w:p>
      <w:pPr>
        <w:spacing w:line="540" w:lineRule="exact"/>
        <w:ind w:firstLine="562" w:firstLineChars="200"/>
        <w:outlineLvl w:val="2"/>
        <w:rPr>
          <w:rFonts w:ascii="Times New Roman" w:hAnsi="Times New Roman" w:eastAsia="仿宋GB2312"/>
          <w:b/>
          <w:bCs/>
          <w:color w:val="000000"/>
          <w:sz w:val="28"/>
          <w:szCs w:val="28"/>
          <w:highlight w:val="none"/>
        </w:rPr>
      </w:pPr>
      <w:r>
        <w:rPr>
          <w:rFonts w:hint="eastAsia" w:ascii="Times New Roman" w:hAnsi="Times New Roman" w:eastAsia="仿宋GB2312"/>
          <w:b/>
          <w:bCs/>
          <w:color w:val="000000"/>
          <w:sz w:val="28"/>
          <w:szCs w:val="28"/>
          <w:highlight w:val="none"/>
          <w:lang w:val="en-US" w:eastAsia="zh-CN"/>
        </w:rPr>
        <w:t>9</w:t>
      </w:r>
      <w:r>
        <w:rPr>
          <w:rFonts w:hint="eastAsia" w:ascii="Times New Roman" w:hAnsi="Times New Roman" w:eastAsia="仿宋GB2312"/>
          <w:b/>
          <w:bCs/>
          <w:color w:val="000000"/>
          <w:sz w:val="28"/>
          <w:szCs w:val="28"/>
          <w:highlight w:val="none"/>
        </w:rPr>
        <w:t>.</w:t>
      </w:r>
      <w:r>
        <w:rPr>
          <w:rFonts w:ascii="Times New Roman" w:hAnsi="Times New Roman" w:eastAsia="仿宋GB2312"/>
          <w:b/>
          <w:bCs/>
          <w:color w:val="000000"/>
          <w:sz w:val="28"/>
          <w:szCs w:val="28"/>
          <w:highlight w:val="none"/>
        </w:rPr>
        <w:t>实施主体</w:t>
      </w:r>
      <w:r>
        <w:rPr>
          <w:rFonts w:hint="eastAsia" w:ascii="Times New Roman" w:hAnsi="Times New Roman" w:eastAsia="仿宋GB2312"/>
          <w:b/>
          <w:bCs/>
          <w:color w:val="000000"/>
          <w:sz w:val="28"/>
          <w:szCs w:val="28"/>
          <w:highlight w:val="none"/>
        </w:rPr>
        <w:t>：</w:t>
      </w:r>
      <w:r>
        <w:rPr>
          <w:rFonts w:hint="eastAsia" w:ascii="方正仿宋_GBK" w:hAnsi="方正仿宋_GBK" w:eastAsia="方正仿宋_GBK" w:cs="方正仿宋_GBK"/>
          <w:color w:val="000000"/>
          <w:sz w:val="28"/>
          <w:szCs w:val="28"/>
          <w:highlight w:val="none"/>
        </w:rPr>
        <w:t>国家外汇局省级分局和计划单列市分局</w:t>
      </w:r>
    </w:p>
    <w:p>
      <w:pPr>
        <w:spacing w:line="540" w:lineRule="exact"/>
        <w:ind w:firstLine="562" w:firstLineChars="200"/>
        <w:outlineLvl w:val="2"/>
        <w:rPr>
          <w:rFonts w:ascii="Times New Roman" w:hAnsi="Times New Roman" w:eastAsia="仿宋GB2312"/>
          <w:b/>
          <w:bCs/>
          <w:color w:val="000000"/>
          <w:sz w:val="28"/>
          <w:szCs w:val="28"/>
          <w:highlight w:val="none"/>
        </w:rPr>
      </w:pPr>
      <w:r>
        <w:rPr>
          <w:rFonts w:hint="eastAsia" w:ascii="Times New Roman" w:hAnsi="Times New Roman" w:eastAsia="仿宋GB2312"/>
          <w:b/>
          <w:bCs/>
          <w:color w:val="000000"/>
          <w:sz w:val="28"/>
          <w:szCs w:val="28"/>
          <w:highlight w:val="none"/>
          <w:lang w:val="en-US" w:eastAsia="zh-CN"/>
        </w:rPr>
        <w:t>10</w:t>
      </w:r>
      <w:r>
        <w:rPr>
          <w:rFonts w:hint="eastAsia" w:ascii="Times New Roman" w:hAnsi="Times New Roman" w:eastAsia="仿宋GB2312"/>
          <w:b/>
          <w:bCs/>
          <w:color w:val="000000"/>
          <w:sz w:val="28"/>
          <w:szCs w:val="28"/>
          <w:highlight w:val="none"/>
        </w:rPr>
        <w:t>.实施主体性质：</w:t>
      </w:r>
      <w:r>
        <w:rPr>
          <w:rFonts w:hint="eastAsia" w:ascii="方正仿宋_GBK" w:hAnsi="方正仿宋_GBK" w:eastAsia="方正仿宋_GBK" w:cs="方正仿宋_GBK"/>
          <w:color w:val="000000"/>
          <w:sz w:val="28"/>
          <w:szCs w:val="28"/>
          <w:highlight w:val="none"/>
        </w:rPr>
        <w:t>法定机关</w:t>
      </w:r>
    </w:p>
    <w:p>
      <w:pPr>
        <w:spacing w:line="540" w:lineRule="exact"/>
        <w:ind w:firstLine="562" w:firstLineChars="200"/>
        <w:outlineLvl w:val="2"/>
        <w:rPr>
          <w:rFonts w:hint="eastAsia" w:ascii="方正仿宋_GBK" w:hAnsi="方正仿宋_GBK" w:eastAsia="方正仿宋_GBK" w:cs="方正仿宋_GBK"/>
          <w:color w:val="000000"/>
          <w:sz w:val="28"/>
          <w:szCs w:val="28"/>
          <w:highlight w:val="none"/>
        </w:rPr>
      </w:pPr>
      <w:r>
        <w:rPr>
          <w:rFonts w:hint="eastAsia" w:ascii="Times New Roman" w:hAnsi="Times New Roman" w:eastAsia="仿宋GB2312"/>
          <w:b/>
          <w:bCs/>
          <w:color w:val="000000"/>
          <w:sz w:val="28"/>
          <w:szCs w:val="28"/>
          <w:highlight w:val="none"/>
        </w:rPr>
        <w:t>1</w:t>
      </w:r>
      <w:r>
        <w:rPr>
          <w:rFonts w:hint="eastAsia" w:ascii="Times New Roman" w:hAnsi="Times New Roman" w:eastAsia="仿宋GB2312"/>
          <w:b/>
          <w:bCs/>
          <w:color w:val="000000"/>
          <w:sz w:val="28"/>
          <w:szCs w:val="28"/>
          <w:highlight w:val="none"/>
          <w:lang w:val="en-US" w:eastAsia="zh-CN"/>
        </w:rPr>
        <w:t>1</w:t>
      </w:r>
      <w:r>
        <w:rPr>
          <w:rFonts w:hint="eastAsia" w:ascii="Times New Roman" w:hAnsi="Times New Roman" w:eastAsia="仿宋GB2312"/>
          <w:b/>
          <w:bCs/>
          <w:color w:val="000000"/>
          <w:sz w:val="28"/>
          <w:szCs w:val="28"/>
          <w:highlight w:val="none"/>
        </w:rPr>
        <w:t>.</w:t>
      </w:r>
      <w:r>
        <w:rPr>
          <w:rFonts w:ascii="Times New Roman" w:hAnsi="Times New Roman" w:eastAsia="仿宋GB2312"/>
          <w:b/>
          <w:bCs/>
          <w:color w:val="000000"/>
          <w:sz w:val="28"/>
          <w:szCs w:val="28"/>
          <w:highlight w:val="none"/>
        </w:rPr>
        <w:t>审批层级</w:t>
      </w:r>
      <w:r>
        <w:rPr>
          <w:rFonts w:hint="eastAsia" w:ascii="Times New Roman" w:hAnsi="Times New Roman" w:eastAsia="仿宋GB2312"/>
          <w:b/>
          <w:bCs/>
          <w:color w:val="000000"/>
          <w:sz w:val="28"/>
          <w:szCs w:val="28"/>
          <w:highlight w:val="none"/>
        </w:rPr>
        <w:t>：</w:t>
      </w:r>
      <w:r>
        <w:rPr>
          <w:rFonts w:hint="eastAsia" w:ascii="方正仿宋_GBK" w:hAnsi="方正仿宋_GBK" w:eastAsia="方正仿宋_GBK" w:cs="方正仿宋_GBK"/>
          <w:color w:val="000000"/>
          <w:sz w:val="28"/>
          <w:szCs w:val="28"/>
          <w:highlight w:val="none"/>
        </w:rPr>
        <w:t>国家级</w:t>
      </w:r>
    </w:p>
    <w:p>
      <w:pPr>
        <w:spacing w:line="600" w:lineRule="exact"/>
        <w:ind w:firstLine="562" w:firstLineChars="200"/>
        <w:rPr>
          <w:rFonts w:ascii="Times New Roman" w:hAnsi="Times New Roman" w:eastAsia="仿宋GB2312"/>
          <w:b/>
          <w:bCs/>
          <w:color w:val="000000"/>
          <w:sz w:val="28"/>
          <w:szCs w:val="28"/>
          <w:highlight w:val="none"/>
        </w:rPr>
      </w:pPr>
      <w:r>
        <w:rPr>
          <w:rFonts w:hint="eastAsia" w:ascii="Times New Roman" w:hAnsi="Times New Roman" w:eastAsia="仿宋GB2312"/>
          <w:b/>
          <w:bCs/>
          <w:color w:val="000000"/>
          <w:sz w:val="28"/>
          <w:szCs w:val="28"/>
          <w:highlight w:val="none"/>
        </w:rPr>
        <w:t>12.</w:t>
      </w:r>
      <w:r>
        <w:rPr>
          <w:rFonts w:ascii="Times New Roman" w:hAnsi="Times New Roman" w:eastAsia="仿宋GB2312"/>
          <w:b/>
          <w:bCs/>
          <w:color w:val="000000"/>
          <w:sz w:val="28"/>
          <w:szCs w:val="28"/>
          <w:highlight w:val="none"/>
        </w:rPr>
        <w:t>行使层级</w:t>
      </w:r>
      <w:r>
        <w:rPr>
          <w:rFonts w:hint="eastAsia" w:ascii="Times New Roman" w:hAnsi="Times New Roman" w:eastAsia="仿宋GB2312"/>
          <w:b/>
          <w:bCs/>
          <w:color w:val="000000"/>
          <w:sz w:val="28"/>
          <w:szCs w:val="28"/>
          <w:highlight w:val="none"/>
        </w:rPr>
        <w:t>：</w:t>
      </w:r>
      <w:r>
        <w:rPr>
          <w:rFonts w:hint="eastAsia" w:ascii="方正仿宋_GBK" w:hAnsi="方正仿宋_GBK" w:eastAsia="方正仿宋_GBK" w:cs="方正仿宋_GBK"/>
          <w:color w:val="000000"/>
          <w:sz w:val="28"/>
          <w:szCs w:val="28"/>
          <w:highlight w:val="none"/>
          <w:lang w:eastAsia="zh-CN"/>
        </w:rPr>
        <w:t>省</w:t>
      </w:r>
      <w:r>
        <w:rPr>
          <w:rFonts w:ascii="方正仿宋_GBK" w:hAnsi="方正仿宋_GBK" w:eastAsia="方正仿宋_GBK" w:cs="方正仿宋_GBK"/>
          <w:color w:val="000000"/>
          <w:sz w:val="28"/>
          <w:szCs w:val="28"/>
          <w:highlight w:val="none"/>
        </w:rPr>
        <w:t>级</w:t>
      </w:r>
    </w:p>
    <w:p>
      <w:pPr>
        <w:spacing w:line="540" w:lineRule="exact"/>
        <w:ind w:firstLine="562" w:firstLineChars="200"/>
        <w:outlineLvl w:val="2"/>
        <w:rPr>
          <w:rFonts w:ascii="Times New Roman" w:hAnsi="Times New Roman" w:eastAsia="仿宋GB2312"/>
          <w:b/>
          <w:bCs/>
          <w:color w:val="000000"/>
          <w:sz w:val="28"/>
          <w:szCs w:val="28"/>
          <w:highlight w:val="none"/>
        </w:rPr>
      </w:pPr>
      <w:r>
        <w:rPr>
          <w:rFonts w:hint="eastAsia" w:ascii="Times New Roman" w:hAnsi="Times New Roman" w:eastAsia="仿宋GB2312"/>
          <w:b/>
          <w:bCs/>
          <w:color w:val="000000"/>
          <w:sz w:val="28"/>
          <w:szCs w:val="28"/>
          <w:highlight w:val="none"/>
        </w:rPr>
        <w:t>13.</w:t>
      </w:r>
      <w:r>
        <w:rPr>
          <w:rFonts w:ascii="Times New Roman" w:hAnsi="Times New Roman" w:eastAsia="仿宋GB2312"/>
          <w:b/>
          <w:bCs/>
          <w:color w:val="000000"/>
          <w:sz w:val="28"/>
          <w:szCs w:val="28"/>
          <w:highlight w:val="none"/>
        </w:rPr>
        <w:t>是否由审批机关受理</w:t>
      </w:r>
      <w:r>
        <w:rPr>
          <w:rFonts w:hint="eastAsia" w:ascii="Times New Roman" w:hAnsi="Times New Roman" w:eastAsia="仿宋GB2312"/>
          <w:b/>
          <w:bCs/>
          <w:color w:val="000000"/>
          <w:sz w:val="28"/>
          <w:szCs w:val="28"/>
          <w:highlight w:val="none"/>
        </w:rPr>
        <w:t>：</w:t>
      </w:r>
      <w:r>
        <w:rPr>
          <w:rFonts w:ascii="方正仿宋_GBK" w:hAnsi="方正仿宋_GBK" w:eastAsia="方正仿宋_GBK" w:cs="方正仿宋_GBK"/>
          <w:color w:val="000000"/>
          <w:sz w:val="28"/>
          <w:szCs w:val="28"/>
          <w:highlight w:val="none"/>
        </w:rPr>
        <w:t>是</w:t>
      </w:r>
    </w:p>
    <w:p>
      <w:pPr>
        <w:spacing w:line="600" w:lineRule="exact"/>
        <w:ind w:firstLine="562" w:firstLineChars="200"/>
        <w:rPr>
          <w:rFonts w:ascii="Times New Roman" w:hAnsi="Times New Roman" w:eastAsia="仿宋GB2312"/>
          <w:b/>
          <w:bCs/>
          <w:color w:val="000000"/>
          <w:sz w:val="28"/>
          <w:szCs w:val="28"/>
          <w:highlight w:val="none"/>
        </w:rPr>
      </w:pPr>
      <w:r>
        <w:rPr>
          <w:rFonts w:hint="eastAsia" w:ascii="Times New Roman" w:hAnsi="Times New Roman" w:eastAsia="仿宋GB2312"/>
          <w:b/>
          <w:bCs/>
          <w:color w:val="000000"/>
          <w:sz w:val="28"/>
          <w:szCs w:val="28"/>
          <w:highlight w:val="none"/>
        </w:rPr>
        <w:t>14.</w:t>
      </w:r>
      <w:r>
        <w:rPr>
          <w:rFonts w:ascii="Times New Roman" w:hAnsi="Times New Roman" w:eastAsia="仿宋GB2312"/>
          <w:b/>
          <w:bCs/>
          <w:color w:val="000000"/>
          <w:sz w:val="28"/>
          <w:szCs w:val="28"/>
          <w:highlight w:val="none"/>
        </w:rPr>
        <w:t>受理层级</w:t>
      </w:r>
      <w:r>
        <w:rPr>
          <w:rFonts w:hint="eastAsia" w:ascii="Times New Roman" w:hAnsi="Times New Roman" w:eastAsia="仿宋GB2312"/>
          <w:b/>
          <w:bCs/>
          <w:color w:val="000000"/>
          <w:sz w:val="28"/>
          <w:szCs w:val="28"/>
          <w:highlight w:val="none"/>
        </w:rPr>
        <w:t>：</w:t>
      </w:r>
      <w:r>
        <w:rPr>
          <w:rFonts w:hint="eastAsia" w:ascii="方正仿宋_GBK" w:hAnsi="方正仿宋_GBK" w:eastAsia="方正仿宋_GBK" w:cs="方正仿宋_GBK"/>
          <w:color w:val="000000"/>
          <w:sz w:val="28"/>
          <w:szCs w:val="28"/>
          <w:highlight w:val="none"/>
          <w:lang w:eastAsia="zh-CN"/>
        </w:rPr>
        <w:t>省</w:t>
      </w:r>
      <w:r>
        <w:rPr>
          <w:rFonts w:ascii="方正仿宋_GBK" w:hAnsi="方正仿宋_GBK" w:eastAsia="方正仿宋_GBK" w:cs="方正仿宋_GBK"/>
          <w:color w:val="000000"/>
          <w:sz w:val="28"/>
          <w:szCs w:val="28"/>
          <w:highlight w:val="none"/>
        </w:rPr>
        <w:t>级</w:t>
      </w:r>
    </w:p>
    <w:p>
      <w:pPr>
        <w:spacing w:line="600" w:lineRule="exact"/>
        <w:ind w:firstLine="562" w:firstLineChars="200"/>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15.是否存在初审环节：</w:t>
      </w:r>
      <w:r>
        <w:rPr>
          <w:rFonts w:ascii="方正仿宋_GBK" w:hAnsi="方正仿宋_GBK" w:eastAsia="方正仿宋_GBK" w:cs="方正仿宋_GBK"/>
          <w:color w:val="000000"/>
          <w:sz w:val="28"/>
          <w:szCs w:val="28"/>
        </w:rPr>
        <w:t>否</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16.初审层级：</w:t>
      </w:r>
      <w:r>
        <w:rPr>
          <w:rFonts w:ascii="方正仿宋_GBK" w:hAnsi="方正仿宋_GBK" w:eastAsia="方正仿宋_GBK" w:cs="方正仿宋_GBK"/>
          <w:color w:val="000000"/>
          <w:sz w:val="28"/>
          <w:szCs w:val="28"/>
        </w:rPr>
        <w:t>无</w:t>
      </w:r>
    </w:p>
    <w:p>
      <w:pPr>
        <w:numPr>
          <w:ilvl w:val="0"/>
          <w:numId w:val="1"/>
        </w:numPr>
        <w:spacing w:line="540" w:lineRule="exact"/>
        <w:outlineLvl w:val="1"/>
        <w:rPr>
          <w:rFonts w:ascii="Times New Roman" w:hAnsi="Times New Roman" w:eastAsia="黑体"/>
          <w:color w:val="000000"/>
          <w:sz w:val="28"/>
          <w:szCs w:val="28"/>
        </w:rPr>
      </w:pPr>
      <w:bookmarkStart w:id="1" w:name="_Toc70821178_WPSOffice_Level1"/>
      <w:r>
        <w:rPr>
          <w:rFonts w:hint="eastAsia" w:ascii="Times New Roman" w:hAnsi="Times New Roman" w:eastAsia="黑体"/>
          <w:color w:val="000000"/>
          <w:sz w:val="28"/>
          <w:szCs w:val="28"/>
        </w:rPr>
        <w:t>行政许可事项类型</w:t>
      </w:r>
      <w:bookmarkEnd w:id="1"/>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条件型</w:t>
      </w:r>
    </w:p>
    <w:p>
      <w:pPr>
        <w:numPr>
          <w:ilvl w:val="0"/>
          <w:numId w:val="1"/>
        </w:numPr>
        <w:spacing w:line="540" w:lineRule="exact"/>
        <w:outlineLvl w:val="1"/>
        <w:rPr>
          <w:rFonts w:ascii="Times New Roman" w:hAnsi="Times New Roman" w:eastAsia="黑体"/>
          <w:color w:val="000000"/>
          <w:sz w:val="28"/>
          <w:szCs w:val="28"/>
        </w:rPr>
      </w:pPr>
      <w:bookmarkStart w:id="2" w:name="_Toc590100523_WPSOffice_Level1"/>
      <w:r>
        <w:rPr>
          <w:rFonts w:hint="eastAsia" w:ascii="Times New Roman" w:hAnsi="Times New Roman" w:eastAsia="黑体"/>
          <w:color w:val="000000"/>
          <w:sz w:val="28"/>
          <w:szCs w:val="28"/>
        </w:rPr>
        <w:t>行政许可条件</w:t>
      </w:r>
      <w:bookmarkEnd w:id="2"/>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1.准予行政许可的条件</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省级分局和计划单列市分局办理的经常项目资金收付和轧差结算收支业务新办</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办理经常项目资金集中收付和轧差结算收支业务的申请主体为跨国公司主办企业，且需满足以下要求：</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具备真实业务需求；</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具有完善的跨境资金管理架构、内控制度；</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建立相应的内部管理电子系统；</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企业上年度本外币国际收支规模超过1亿美元，自由贸易试验区企业上年度本外币国际收支规模超过5000万美元（参加跨境资金集中运营业务的境内成员企业合并计算）；</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近三年无重大外汇违法违规行为（成立不满三年的企业，自成立之日起无重大外汇违规行为）；</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主办企业和境内成员企业如为贸易外汇收支名录内企业，货物贸易分类结果应为A类。</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省级分局和计划单列市分局办理的经常项目资金集中和轧差结算收支业务变更</w:t>
      </w:r>
    </w:p>
    <w:p>
      <w:pPr>
        <w:spacing w:line="600" w:lineRule="exact"/>
        <w:ind w:firstLine="560" w:firstLineChars="200"/>
        <w:rPr>
          <w:rFonts w:hint="default" w:ascii="方正仿宋_GBK" w:hAnsi="方正仿宋_GBK" w:eastAsia="方正仿宋_GBK" w:cs="方正仿宋_GBK"/>
          <w:color w:val="000000"/>
          <w:sz w:val="28"/>
          <w:szCs w:val="28"/>
        </w:rPr>
      </w:pPr>
      <w:r>
        <w:rPr>
          <w:rFonts w:hint="default" w:ascii="方正仿宋_GBK" w:hAnsi="方正仿宋_GBK" w:eastAsia="方正仿宋_GBK" w:cs="方正仿宋_GBK"/>
          <w:color w:val="000000"/>
          <w:sz w:val="28"/>
          <w:szCs w:val="28"/>
        </w:rPr>
        <w:t>跨国公司跨境资金集中运营业务办理期间，合作银行、主办企业、成员企业、业务种类等发生变更的跨国公司主办企业。</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2.</w:t>
      </w:r>
      <w:r>
        <w:rPr>
          <w:rFonts w:ascii="Times New Roman" w:hAnsi="Times New Roman" w:eastAsia="仿宋GB2312"/>
          <w:b/>
          <w:bCs/>
          <w:color w:val="000000"/>
          <w:sz w:val="28"/>
          <w:szCs w:val="28"/>
        </w:rPr>
        <w:t>规定行政许可条件的依据</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分局（外汇管理部）办理的经常项目资金集中收付和轧差结算收支业务新办</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跨国公司跨境资金集中运营管理规定》（汇发〔2019〕7号文印发）第五条：满足以下条件的跨国公司,可根据经营需要选择一家境内企业作为主办企业集中运营管理境内外成员企业资金,开展集中外债额度、集中境外放款额度、经常项目资金集中收付和轧差结算中的一项或多项业务:</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（一）具备真实业务需求;</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（二）具有完善的跨境资金管理架构、内控制度;</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（三）建立相应的内部管理电子系统;</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（四）上年度本外币国际收支规模超过 1 亿美元（参加跨境资金集中运营业务的境内成员企业合并计算）;</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（五）近三年无重大外汇违法违规行为（成立不满三年的企业,自成立之日起无重大外汇违规行为）;</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（六）主办企业和境内成员企业如为贸易外汇收支名录内企业,货物贸易分类结果应为 A 类……。</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分局（外汇管理部）办理的经常项目资金集中收付和轧差结算收支业务变更</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跨国公司跨境资金集中运营管理规定》（汇发〔2019〕7号文印发）第十条：跨国公司跨境资金集中运营业务办理期间，合作银行、主办企业、成员企业、业务种类等发生变更的，主办企业应提前一个月通过所在地外汇局向分局变更备案。</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3.受理条件</w:t>
      </w:r>
    </w:p>
    <w:p>
      <w:pPr>
        <w:spacing w:line="540" w:lineRule="exact"/>
        <w:ind w:firstLine="560" w:firstLineChars="200"/>
        <w:outlineLvl w:val="2"/>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申请材料齐全、符合法定形式。</w:t>
      </w:r>
    </w:p>
    <w:p>
      <w:pPr>
        <w:numPr>
          <w:ilvl w:val="0"/>
          <w:numId w:val="1"/>
        </w:numPr>
        <w:spacing w:line="540" w:lineRule="exact"/>
        <w:outlineLvl w:val="1"/>
        <w:rPr>
          <w:rFonts w:ascii="Times New Roman" w:hAnsi="Times New Roman" w:eastAsia="黑体"/>
          <w:color w:val="000000"/>
          <w:sz w:val="28"/>
          <w:szCs w:val="28"/>
        </w:rPr>
      </w:pPr>
      <w:bookmarkStart w:id="3" w:name="_Toc1509240106_WPSOffice_Level1"/>
      <w:r>
        <w:rPr>
          <w:rFonts w:ascii="Times New Roman" w:hAnsi="Times New Roman" w:eastAsia="黑体"/>
          <w:color w:val="000000"/>
          <w:sz w:val="28"/>
          <w:szCs w:val="28"/>
        </w:rPr>
        <w:t>行政许可服务对象类型</w:t>
      </w:r>
      <w:r>
        <w:rPr>
          <w:rFonts w:hint="eastAsia" w:ascii="Times New Roman" w:hAnsi="Times New Roman" w:eastAsia="黑体"/>
          <w:color w:val="000000"/>
          <w:sz w:val="28"/>
          <w:szCs w:val="28"/>
        </w:rPr>
        <w:t>与改革举措</w:t>
      </w:r>
      <w:bookmarkEnd w:id="3"/>
    </w:p>
    <w:p>
      <w:pPr>
        <w:numPr>
          <w:ilvl w:val="0"/>
          <w:numId w:val="2"/>
        </w:num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服务对象类型：</w:t>
      </w:r>
      <w:r>
        <w:rPr>
          <w:rFonts w:ascii="方正仿宋_GBK" w:hAnsi="方正仿宋_GBK" w:eastAsia="方正仿宋_GBK" w:cs="方正仿宋_GBK"/>
          <w:color w:val="000000"/>
          <w:sz w:val="28"/>
          <w:szCs w:val="28"/>
        </w:rPr>
        <w:t>企业法人</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2.是否为涉企许可事项：</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lang w:val="en-US" w:eastAsia="zh-CN"/>
        </w:rPr>
        <w:t>3</w:t>
      </w:r>
      <w:r>
        <w:rPr>
          <w:rFonts w:hint="eastAsia" w:ascii="Times New Roman" w:hAnsi="Times New Roman" w:eastAsia="仿宋GB2312"/>
          <w:b/>
          <w:bCs/>
          <w:color w:val="000000"/>
          <w:sz w:val="28"/>
          <w:szCs w:val="28"/>
        </w:rPr>
        <w:t>.涉企经营许可事项名称：</w:t>
      </w:r>
      <w:r>
        <w:rPr>
          <w:rFonts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lang w:val="en-US" w:eastAsia="zh-CN"/>
        </w:rPr>
        <w:t>4</w:t>
      </w:r>
      <w:r>
        <w:rPr>
          <w:rFonts w:hint="eastAsia" w:ascii="Times New Roman" w:hAnsi="Times New Roman" w:eastAsia="仿宋GB2312"/>
          <w:b/>
          <w:bCs/>
          <w:color w:val="000000"/>
          <w:sz w:val="28"/>
          <w:szCs w:val="28"/>
        </w:rPr>
        <w:t>.许可证件名称：</w:t>
      </w:r>
      <w:r>
        <w:rPr>
          <w:rFonts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lang w:val="en-US" w:eastAsia="zh-CN"/>
        </w:rPr>
        <w:t>5</w:t>
      </w:r>
      <w:r>
        <w:rPr>
          <w:rFonts w:hint="eastAsia" w:ascii="Times New Roman" w:hAnsi="Times New Roman" w:eastAsia="仿宋GB2312"/>
          <w:b/>
          <w:bCs/>
          <w:color w:val="000000"/>
          <w:sz w:val="28"/>
          <w:szCs w:val="28"/>
        </w:rPr>
        <w:t>.改革方式：</w:t>
      </w:r>
      <w:r>
        <w:rPr>
          <w:rFonts w:ascii="方正仿宋_GBK" w:hAnsi="方正仿宋_GBK" w:eastAsia="方正仿宋_GBK" w:cs="方正仿宋_GBK"/>
          <w:color w:val="000000"/>
          <w:sz w:val="28"/>
          <w:szCs w:val="28"/>
        </w:rPr>
        <w:t>无</w:t>
      </w:r>
    </w:p>
    <w:p>
      <w:pPr>
        <w:spacing w:line="54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lang w:val="en-US" w:eastAsia="zh-CN"/>
        </w:rPr>
        <w:t>6</w:t>
      </w:r>
      <w:r>
        <w:rPr>
          <w:rFonts w:hint="eastAsia" w:ascii="Times New Roman" w:hAnsi="Times New Roman" w:eastAsia="仿宋GB2312"/>
          <w:b/>
          <w:bCs/>
          <w:color w:val="000000"/>
          <w:sz w:val="28"/>
          <w:szCs w:val="28"/>
        </w:rPr>
        <w:t>.具体改革举措:</w:t>
      </w:r>
      <w:r>
        <w:rPr>
          <w:rFonts w:ascii="方正仿宋_GBK" w:hAnsi="方正仿宋_GBK" w:eastAsia="方正仿宋_GBK" w:cs="方正仿宋_GBK"/>
          <w:color w:val="000000"/>
          <w:sz w:val="28"/>
          <w:szCs w:val="28"/>
        </w:rPr>
        <w:t>无</w:t>
      </w:r>
    </w:p>
    <w:p>
      <w:pPr>
        <w:spacing w:line="540" w:lineRule="exact"/>
        <w:ind w:firstLine="562" w:firstLineChars="200"/>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lang w:val="en-US" w:eastAsia="zh-CN"/>
        </w:rPr>
        <w:t>7</w:t>
      </w:r>
      <w:r>
        <w:rPr>
          <w:rFonts w:hint="eastAsia" w:ascii="Times New Roman" w:hAnsi="Times New Roman" w:eastAsia="仿宋GB2312"/>
          <w:b/>
          <w:bCs/>
          <w:color w:val="000000"/>
          <w:sz w:val="28"/>
          <w:szCs w:val="28"/>
        </w:rPr>
        <w:t>.加强事中事后监管措施</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1.开展“双随机、一公开”监管，依法查处违规行为，适时公开相关案例。2.依法及时处理投诉举报。3.开展数据统计与监测，掌握外汇业务情况。</w:t>
      </w:r>
    </w:p>
    <w:p>
      <w:pPr>
        <w:numPr>
          <w:ilvl w:val="0"/>
          <w:numId w:val="1"/>
        </w:numPr>
        <w:spacing w:line="540" w:lineRule="exact"/>
        <w:outlineLvl w:val="1"/>
        <w:rPr>
          <w:rFonts w:ascii="Times New Roman" w:hAnsi="Times New Roman" w:eastAsia="黑体"/>
          <w:color w:val="000000"/>
          <w:sz w:val="28"/>
          <w:szCs w:val="28"/>
        </w:rPr>
      </w:pPr>
      <w:bookmarkStart w:id="4" w:name="_Toc1561626744_WPSOffice_Level1"/>
      <w:r>
        <w:rPr>
          <w:rFonts w:hint="eastAsia" w:ascii="Times New Roman" w:hAnsi="Times New Roman" w:eastAsia="黑体"/>
          <w:color w:val="000000"/>
          <w:sz w:val="28"/>
          <w:szCs w:val="28"/>
        </w:rPr>
        <w:t>申请材料</w:t>
      </w:r>
      <w:bookmarkEnd w:id="4"/>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1.申请材料名称</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省级分局和计划单列市分局办理的经常项目资金集中和轧差结算收支业务新办</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加盖公章的备案申请书原件1份。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跨国公司对主办企业开展跨境资金集中运营业务的授权书原件1份。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主办企业与合作银行共同签署的《跨国公司跨境资金集中运营业务办理确认书》原件或加盖公章的复印件1份。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加盖主办企业公章的主办企业及境内成员企业营业执照（统一社会信用代码证）复印件1份。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境外成员企业注册文件原件或加盖公章的复印件1份。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金融业务许可证及经营范围批准文件原件或加盖公章的复印件1份。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省级分局和计划单列市分局办理的经常项目资金集中和轧差结算收支业务变更</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申请书1份。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加盖银行业务公章的原账户余额对账单原件或加盖公章的复印件1份。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主办企业与变更后合作银行签署的《跨国公司跨境资金集中运营业务办理确认书》原件或加盖公章的复印件1份。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跨国公司对主办企业开展跨境资金集中运营业务的授权书原件或加盖公章的复印件1份。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主办企业与合作银行共同签署的《跨国公司跨境资金集中运营业务办理确认书》原件或加盖公章的复印件1份。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主办企业及境内成员企业营业执照（统一社会信用代码证）原件或加盖公章的复印件1份。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境外成员企业注册文件原件或加盖公章的复印件1份。</w:t>
      </w:r>
    </w:p>
    <w:p>
      <w:pPr>
        <w:spacing w:line="540" w:lineRule="exact"/>
        <w:ind w:firstLine="562"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金融业务许可证及经营范围批准文件原件或加盖公章的复印件1份。</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2.</w:t>
      </w:r>
      <w:r>
        <w:rPr>
          <w:rFonts w:ascii="Times New Roman" w:hAnsi="Times New Roman" w:eastAsia="仿宋GB2312"/>
          <w:b/>
          <w:bCs/>
          <w:color w:val="000000"/>
          <w:sz w:val="28"/>
          <w:szCs w:val="28"/>
        </w:rPr>
        <w:t>规定申请材料的依据</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分局（外汇管理部）办理的经常项目资金集中收付和轧差结算收支业务新办</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《国家外汇管理局行政许可实施办法》（国家外汇管理局公告2021年第1号）第八条……申请人为机构的，应出示统一社会信用代码证或营业执照原件，或加盖公章的上述证件复印件……。</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跨国公司跨境资金集中运营管理规定》（汇发〔2019〕7号文印发）第七条跨国公司开展跨境资金集中运营业务，应通过主办企业所在地国家外汇管理局分支局（以下简称所在地外汇局）向所属外汇分局、管理部（以下简称分局）备案，提交以下材料：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（1）基本材料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备案申请书（包括跨国公司及主办企业基本情况、拟开展的业务种类、成员企业名单、主办企业及成员企业股权结构情况、拟选择的合作银行情况等）；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跨国公司对主办企业开展跨境资金集中运营业务的授权书；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主办企业与合作银行共同签署的《跨国公司跨境资金集中运营业务办理确认书》；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境外成员企业注册文件（非中文的同时提供中文翻译件）；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金融业务许可证及经营范围批准文件（仅主办企业为财务公司的需提供）。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以上第2项材料应加盖跨国公司公章，其余材料均应加盖主办企业公章。</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（2）专项材料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经常项目资金集中收付和轧差净额结算。主办企业申请办理经常项目资金集中收付和轧差净额结算备案时，应在备案申请书中列表说明参与经常项目资金集中收付和轧差净额结算的境内成员企业名称、统一社会信用代码、注册地（加盖主办企业公章）。</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分局（外汇管理部）办理的经常项目资金集中收付和轧差结算收支业务变更</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跨国公司跨境资金集中运营管理规定》（汇发〔2019〕7号文印发）第七条：跨国公司开展跨境资金集中运营业务，应通过主办企业所在地国家外汇管理局分支局（以下简称所在地外汇局）向所属外汇分局、管理部（以下简称分局）备案，提交以下材料：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（1）基本材料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备案申请书（包括跨国公司及主办企业基本情况、拟开展的业务种类、成员企业名单、主办企业及成员企业股权结构情况、拟选择的合作银行情况等）；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跨国公司对主办企业开展跨境资金集中运营业务的授权书；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主办企业与合作银行共同签署的《跨国公司跨境资金集中运营业务办理确认书》；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境外成员企业注册文件（非中文的同时提供中文翻译件）；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金融业务许可证及经营范围批准文件（仅主办企业为财务公司的需提供）。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以上第2项材料应加盖跨国公司公章，其余材料均应加盖主办企业公章。</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《跨国公司跨境资金集中运营管理规定》（汇发〔2019〕7号文印发）第十条：……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合作银行变更的，应提交以下材料：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变更合作银行申请（包括拟选择的合作银行，原账户余额的处理方式等）；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加盖银行业务公章的原账户余额对账单； </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主办企业与变更后合作银行签署的《跨国公司跨境资金集中运营业务办理确认书》。</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主办企业变更、成员企业新增或退出、外债和境外放款额度变更、业务种类变更的，……参照第七条提交材料……。</w:t>
      </w:r>
    </w:p>
    <w:p>
      <w:pPr>
        <w:spacing w:line="540" w:lineRule="exact"/>
        <w:ind w:firstLine="560" w:firstLineChars="200"/>
        <w:outlineLvl w:val="2"/>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 xml:space="preserve">根据《国家外汇管理局关于取消有关外汇管理证明事项的通知》（汇发〔2019〕38号 ）附件 外汇管理取消证明事项目录第10条跨国公司跨境资金集中运营业务原备案通知书复印件已取消。 </w:t>
      </w:r>
    </w:p>
    <w:p>
      <w:pPr>
        <w:numPr>
          <w:ilvl w:val="0"/>
          <w:numId w:val="1"/>
        </w:numPr>
        <w:spacing w:line="540" w:lineRule="exact"/>
        <w:outlineLvl w:val="1"/>
        <w:rPr>
          <w:rFonts w:ascii="Times New Roman" w:hAnsi="Times New Roman" w:eastAsia="黑体"/>
          <w:color w:val="000000"/>
          <w:sz w:val="28"/>
          <w:szCs w:val="28"/>
        </w:rPr>
      </w:pPr>
      <w:bookmarkStart w:id="5" w:name="_Toc582359425_WPSOffice_Level1"/>
      <w:r>
        <w:rPr>
          <w:rFonts w:hint="eastAsia" w:ascii="Times New Roman" w:hAnsi="Times New Roman" w:eastAsia="黑体"/>
          <w:color w:val="000000"/>
          <w:sz w:val="28"/>
          <w:szCs w:val="28"/>
        </w:rPr>
        <w:t>中介服务</w:t>
      </w:r>
      <w:bookmarkEnd w:id="5"/>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1.有无法定中介服务事项：</w:t>
      </w:r>
      <w:r>
        <w:rPr>
          <w:rFonts w:ascii="方正仿宋_GBK" w:hAnsi="方正仿宋_GBK" w:eastAsia="方正仿宋_GBK" w:cs="方正仿宋_GBK"/>
          <w:color w:val="000000"/>
          <w:sz w:val="28"/>
          <w:szCs w:val="28"/>
        </w:rPr>
        <w:t>无</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2.</w:t>
      </w:r>
      <w:r>
        <w:rPr>
          <w:rFonts w:ascii="Times New Roman" w:hAnsi="Times New Roman" w:eastAsia="仿宋GB2312"/>
          <w:b/>
          <w:bCs/>
          <w:color w:val="000000"/>
          <w:sz w:val="28"/>
          <w:szCs w:val="28"/>
        </w:rPr>
        <w:t>中介服务事项名称</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3.</w:t>
      </w:r>
      <w:r>
        <w:rPr>
          <w:rFonts w:ascii="Times New Roman" w:hAnsi="Times New Roman" w:eastAsia="仿宋GB2312"/>
          <w:b/>
          <w:bCs/>
          <w:color w:val="000000"/>
          <w:sz w:val="28"/>
          <w:szCs w:val="28"/>
        </w:rPr>
        <w:t>设定中介服务事项的依据</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4.</w:t>
      </w:r>
      <w:r>
        <w:rPr>
          <w:rFonts w:ascii="Times New Roman" w:hAnsi="Times New Roman" w:eastAsia="仿宋GB2312"/>
          <w:b/>
          <w:bCs/>
          <w:color w:val="000000"/>
          <w:sz w:val="28"/>
          <w:szCs w:val="28"/>
        </w:rPr>
        <w:t>提供中介服务的机构</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5.</w:t>
      </w:r>
      <w:r>
        <w:rPr>
          <w:rFonts w:ascii="Times New Roman" w:hAnsi="Times New Roman" w:eastAsia="仿宋GB2312"/>
          <w:b/>
          <w:bCs/>
          <w:color w:val="000000"/>
          <w:sz w:val="28"/>
          <w:szCs w:val="28"/>
        </w:rPr>
        <w:t>中介服务事项的收费性质</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无</w:t>
      </w:r>
    </w:p>
    <w:p>
      <w:pPr>
        <w:numPr>
          <w:ilvl w:val="0"/>
          <w:numId w:val="1"/>
        </w:numPr>
        <w:spacing w:line="540" w:lineRule="exact"/>
        <w:outlineLvl w:val="1"/>
        <w:rPr>
          <w:rFonts w:ascii="Times New Roman" w:hAnsi="Times New Roman" w:eastAsia="黑体"/>
          <w:color w:val="000000"/>
          <w:sz w:val="28"/>
          <w:szCs w:val="28"/>
        </w:rPr>
      </w:pPr>
      <w:bookmarkStart w:id="6" w:name="_Toc2038745556_WPSOffice_Level1"/>
      <w:r>
        <w:rPr>
          <w:rFonts w:hint="eastAsia" w:ascii="Times New Roman" w:hAnsi="Times New Roman" w:eastAsia="黑体"/>
          <w:color w:val="000000"/>
          <w:sz w:val="28"/>
          <w:szCs w:val="28"/>
        </w:rPr>
        <w:t>审批程序</w:t>
      </w:r>
      <w:bookmarkEnd w:id="6"/>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1.办理行政许可的程序环节</w:t>
      </w:r>
    </w:p>
    <w:p>
      <w:pPr>
        <w:spacing w:line="540" w:lineRule="exact"/>
        <w:ind w:firstLine="560" w:firstLineChars="200"/>
        <w:outlineLvl w:val="2"/>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（1）申请人申请；</w:t>
      </w:r>
    </w:p>
    <w:p>
      <w:pPr>
        <w:spacing w:line="540" w:lineRule="exact"/>
        <w:ind w:firstLine="560" w:firstLineChars="200"/>
        <w:outlineLvl w:val="2"/>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（2）审批机构受理/不予受理；</w:t>
      </w:r>
    </w:p>
    <w:p>
      <w:pPr>
        <w:spacing w:line="540" w:lineRule="exact"/>
        <w:ind w:firstLine="560" w:firstLineChars="200"/>
        <w:outlineLvl w:val="2"/>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（3）审批机构审查；</w:t>
      </w:r>
    </w:p>
    <w:p>
      <w:pPr>
        <w:spacing w:line="540" w:lineRule="exact"/>
        <w:ind w:firstLine="560" w:firstLineChars="200"/>
        <w:outlineLvl w:val="2"/>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（4）决定作出许可决定书/不予许可决定书</w:t>
      </w:r>
      <w:r>
        <w:rPr>
          <w:rFonts w:hint="eastAsia" w:ascii="方正仿宋_GBK" w:hAnsi="方正仿宋_GBK" w:eastAsia="方正仿宋_GBK" w:cs="方正仿宋_GBK"/>
          <w:color w:val="000000"/>
          <w:sz w:val="28"/>
          <w:szCs w:val="28"/>
        </w:rPr>
        <w:t>.</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2.规定行政许可程序的依据</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《国家外汇管理局行政许可实施办法》（国家外汇管理局公告第1号）第十条外汇局收到行政许可申请后，应区分下列情况分别作出处理：</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（一）申请事项属于本局职责范围，但依法不需要取得行政许可的，应即时告知申请人不受理，出具不予受理行政许可通知书；</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（二）申请事项不属于本局职责范围，应即时作出不予受理的决定，出具不予受理行政许可通知书，并告知申请人向有关行政机关申请；</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三）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申请人拒不补正，或者自补正告知书送达之日起30日内未能提交全部且符合法定形式的补正材料的，应不予受理，出具不予受理行政许可通知书；</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申请材料存在文字笔误等可当场更正的错误的，应允许申请人当场更正，并告知其在修改处签字或盖章确认；</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（四）申请事项属于本局职责范围，申请材料齐全、符合法定形式，或者申请人按照要求提交全部补正申请材料的，应受理行政许可申请，出具行政许可受理通知书。</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《国家外汇管理局行政许可实施办法》（国家外汇管理局公告第1号）第十四条外汇局对行政许可申请审查后，应区分下列情况分别作出处理：</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（一）申请符合法定条件、拟准予行政许可的，应出具准予行政许可的书面决定。准予行政许可的书面决定应载明名称、出具单位、被许可人姓名或名称、行政许可事项、颁发日期、有效期（如有）等；</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（二）申请不符合法定条件、拟不予行政许可的，应出具不予行政许可决定书，并说明不予行政许可的理由，告知申请人享有依法申请行政复议的权利。</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3.</w:t>
      </w:r>
      <w:r>
        <w:rPr>
          <w:rFonts w:ascii="Times New Roman" w:hAnsi="Times New Roman" w:eastAsia="仿宋GB2312"/>
          <w:b/>
          <w:bCs/>
          <w:color w:val="000000"/>
          <w:sz w:val="28"/>
          <w:szCs w:val="28"/>
        </w:rPr>
        <w:t>是否需要现场勘验</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4.</w:t>
      </w:r>
      <w:r>
        <w:rPr>
          <w:rFonts w:ascii="Times New Roman" w:hAnsi="Times New Roman" w:eastAsia="仿宋GB2312"/>
          <w:b/>
          <w:bCs/>
          <w:color w:val="000000"/>
          <w:sz w:val="28"/>
          <w:szCs w:val="28"/>
        </w:rPr>
        <w:t>是否需要组织听证</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5.</w:t>
      </w:r>
      <w:r>
        <w:rPr>
          <w:rFonts w:ascii="Times New Roman" w:hAnsi="Times New Roman" w:eastAsia="仿宋GB2312"/>
          <w:b/>
          <w:bCs/>
          <w:color w:val="000000"/>
          <w:sz w:val="28"/>
          <w:szCs w:val="28"/>
        </w:rPr>
        <w:t>是否需要招标、拍卖、挂牌交易</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6.</w:t>
      </w:r>
      <w:r>
        <w:rPr>
          <w:rFonts w:ascii="Times New Roman" w:hAnsi="Times New Roman" w:eastAsia="仿宋GB2312"/>
          <w:b/>
          <w:bCs/>
          <w:color w:val="000000"/>
          <w:sz w:val="28"/>
          <w:szCs w:val="28"/>
        </w:rPr>
        <w:t>是否需要检验、检测、检疫</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7.</w:t>
      </w:r>
      <w:r>
        <w:rPr>
          <w:rFonts w:ascii="Times New Roman" w:hAnsi="Times New Roman" w:eastAsia="仿宋GB2312"/>
          <w:b/>
          <w:bCs/>
          <w:color w:val="000000"/>
          <w:sz w:val="28"/>
          <w:szCs w:val="28"/>
        </w:rPr>
        <w:t>是否需要鉴定</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8.</w:t>
      </w:r>
      <w:r>
        <w:rPr>
          <w:rFonts w:ascii="Times New Roman" w:hAnsi="Times New Roman" w:eastAsia="仿宋GB2312"/>
          <w:b/>
          <w:bCs/>
          <w:color w:val="000000"/>
          <w:sz w:val="28"/>
          <w:szCs w:val="28"/>
        </w:rPr>
        <w:t>是否需要专家评审</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9.</w:t>
      </w:r>
      <w:r>
        <w:rPr>
          <w:rFonts w:ascii="Times New Roman" w:hAnsi="Times New Roman" w:eastAsia="仿宋GB2312"/>
          <w:b/>
          <w:bCs/>
          <w:color w:val="000000"/>
          <w:sz w:val="28"/>
          <w:szCs w:val="28"/>
        </w:rPr>
        <w:t>是否需要向社会公示</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10.</w:t>
      </w:r>
      <w:r>
        <w:rPr>
          <w:rFonts w:ascii="Times New Roman" w:hAnsi="Times New Roman" w:eastAsia="仿宋GB2312"/>
          <w:b/>
          <w:bCs/>
          <w:color w:val="000000"/>
          <w:sz w:val="28"/>
          <w:szCs w:val="28"/>
        </w:rPr>
        <w:t>是否实行告知承诺办理</w:t>
      </w:r>
      <w:r>
        <w:rPr>
          <w:rFonts w:hint="eastAsia" w:ascii="Times New Roman" w:hAnsi="Times New Roman" w:eastAsia="仿宋GB2312"/>
          <w:b/>
          <w:bCs/>
          <w:color w:val="000000"/>
          <w:sz w:val="28"/>
          <w:szCs w:val="28"/>
        </w:rPr>
        <w:t>：</w:t>
      </w:r>
      <w:r>
        <w:rPr>
          <w:rFonts w:ascii="方正仿宋_GBK" w:hAnsi="方正仿宋_GBK" w:eastAsia="方正仿宋_GBK" w:cs="方正仿宋_GBK"/>
          <w:color w:val="000000"/>
          <w:sz w:val="28"/>
          <w:szCs w:val="28"/>
        </w:rPr>
        <w:t>否</w:t>
      </w:r>
    </w:p>
    <w:p>
      <w:pPr>
        <w:spacing w:line="600" w:lineRule="exact"/>
        <w:ind w:firstLine="562" w:firstLineChars="200"/>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11.审批机关是否委托服务机构开展技术性服务：</w:t>
      </w:r>
      <w:r>
        <w:rPr>
          <w:rFonts w:hint="eastAsia" w:ascii="方正仿宋_GBK" w:hAnsi="方正仿宋_GBK" w:eastAsia="方正仿宋_GBK" w:cs="方正仿宋_GBK"/>
          <w:color w:val="000000"/>
          <w:sz w:val="28"/>
          <w:szCs w:val="28"/>
        </w:rPr>
        <w:t>否</w:t>
      </w:r>
    </w:p>
    <w:p>
      <w:pPr>
        <w:numPr>
          <w:ilvl w:val="0"/>
          <w:numId w:val="1"/>
        </w:numPr>
        <w:spacing w:line="540" w:lineRule="exact"/>
        <w:outlineLvl w:val="1"/>
        <w:rPr>
          <w:rFonts w:ascii="Times New Roman" w:hAnsi="Times New Roman" w:eastAsia="黑体"/>
          <w:color w:val="000000"/>
          <w:sz w:val="28"/>
          <w:szCs w:val="28"/>
        </w:rPr>
      </w:pPr>
      <w:bookmarkStart w:id="7" w:name="_Toc1980440012_WPSOffice_Level1"/>
      <w:r>
        <w:rPr>
          <w:rFonts w:hint="eastAsia" w:ascii="Times New Roman" w:hAnsi="Times New Roman" w:eastAsia="黑体"/>
          <w:color w:val="000000"/>
          <w:sz w:val="28"/>
          <w:szCs w:val="28"/>
        </w:rPr>
        <w:t>受理和审批时限</w:t>
      </w:r>
      <w:bookmarkEnd w:id="7"/>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1.承诺受理时限：</w:t>
      </w:r>
      <w:r>
        <w:rPr>
          <w:rFonts w:ascii="方正仿宋_GBK" w:hAnsi="方正仿宋_GBK" w:eastAsia="方正仿宋_GBK" w:cs="方正仿宋_GBK"/>
          <w:color w:val="000000"/>
          <w:sz w:val="28"/>
          <w:szCs w:val="28"/>
        </w:rPr>
        <w:t>5个工作日</w:t>
      </w:r>
    </w:p>
    <w:p>
      <w:pPr>
        <w:spacing w:line="540" w:lineRule="exact"/>
        <w:ind w:firstLine="562" w:firstLineChars="200"/>
        <w:outlineLvl w:val="2"/>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2.法定审批时限：</w:t>
      </w:r>
      <w:r>
        <w:rPr>
          <w:rFonts w:hint="eastAsia" w:ascii="方正仿宋_GBK" w:hAnsi="方正仿宋_GBK" w:eastAsia="方正仿宋_GBK" w:cs="方正仿宋_GBK"/>
          <w:color w:val="000000"/>
          <w:sz w:val="28"/>
          <w:szCs w:val="28"/>
        </w:rPr>
        <w:t>20工作日</w:t>
      </w:r>
    </w:p>
    <w:p>
      <w:pPr>
        <w:spacing w:line="540" w:lineRule="exact"/>
        <w:ind w:firstLine="562" w:firstLineChars="200"/>
        <w:outlineLvl w:val="2"/>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3.规定法定审批时限依据</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《国家外汇管理局行政许可实施办法》（国家外汇管理局公告2021年第1号）第十五条外汇局应根据以下要求确保行政许可依法按时完成：</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（一）能当场作出决定的，应当场作出行政许可决定。当场作出行政许可决定的，可不出具行政许可受理通知书；</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外汇局征求其他部门意见的时间计算在以上办理时限内；依法需要听证、检验、检测、鉴定、专家评审等的时间，不计算在上述办理时限内。</w:t>
      </w:r>
    </w:p>
    <w:p>
      <w:pPr>
        <w:spacing w:line="600" w:lineRule="exact"/>
        <w:ind w:firstLine="560" w:firstLineChars="200"/>
        <w:rPr>
          <w:rFonts w:ascii="方正仿宋_GBK" w:hAnsi="方正仿宋_GBK" w:eastAsia="方正仿宋_GBK" w:cs="方正仿宋_GBK"/>
          <w:color w:val="000000"/>
          <w:sz w:val="28"/>
          <w:szCs w:val="28"/>
        </w:rPr>
      </w:pPr>
      <w:r>
        <w:rPr>
          <w:rFonts w:ascii="方正仿宋_GBK" w:hAnsi="方正仿宋_GBK" w:eastAsia="方正仿宋_GBK" w:cs="方正仿宋_GBK"/>
          <w:color w:val="000000"/>
          <w:sz w:val="28"/>
          <w:szCs w:val="28"/>
        </w:rPr>
        <w:t>各级外汇局对行政许可办理时限具有对外承诺的，应按照其承诺的时限完成；对外承诺的时限应短于20个工作日。</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4.承诺审批时限：</w:t>
      </w:r>
      <w:r>
        <w:rPr>
          <w:rFonts w:ascii="方正仿宋_GBK" w:hAnsi="方正仿宋_GBK" w:eastAsia="方正仿宋_GBK" w:cs="方正仿宋_GBK"/>
          <w:color w:val="000000"/>
          <w:sz w:val="28"/>
          <w:szCs w:val="28"/>
        </w:rPr>
        <w:t>20工作日</w:t>
      </w:r>
    </w:p>
    <w:p>
      <w:pPr>
        <w:numPr>
          <w:ilvl w:val="0"/>
          <w:numId w:val="1"/>
        </w:numPr>
        <w:spacing w:line="540" w:lineRule="exact"/>
        <w:outlineLvl w:val="1"/>
        <w:rPr>
          <w:rFonts w:ascii="Times New Roman" w:hAnsi="Times New Roman" w:eastAsia="黑体"/>
          <w:color w:val="000000"/>
          <w:sz w:val="28"/>
          <w:szCs w:val="28"/>
        </w:rPr>
      </w:pPr>
      <w:bookmarkStart w:id="8" w:name="_Toc973191296_WPSOffice_Level1"/>
      <w:r>
        <w:rPr>
          <w:rFonts w:hint="eastAsia" w:ascii="Times New Roman" w:hAnsi="Times New Roman" w:eastAsia="黑体"/>
          <w:color w:val="000000"/>
          <w:sz w:val="28"/>
          <w:szCs w:val="28"/>
        </w:rPr>
        <w:t>收费</w:t>
      </w:r>
      <w:bookmarkEnd w:id="8"/>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1.办理行政许可是否收费：</w:t>
      </w:r>
      <w:r>
        <w:rPr>
          <w:rFonts w:hint="eastAsia" w:ascii="方正仿宋_GBK" w:hAnsi="方正仿宋_GBK" w:eastAsia="方正仿宋_GBK" w:cs="方正仿宋_GBK"/>
          <w:color w:val="000000"/>
          <w:sz w:val="28"/>
          <w:szCs w:val="28"/>
        </w:rPr>
        <w:t>否</w:t>
      </w:r>
    </w:p>
    <w:p>
      <w:pPr>
        <w:spacing w:line="540" w:lineRule="exact"/>
        <w:ind w:firstLine="562" w:firstLineChars="200"/>
        <w:outlineLvl w:val="2"/>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2.收费项目的名称、收费项目的标准、设定收费项目的依据、规定收费标准的依据:</w:t>
      </w:r>
      <w:r>
        <w:rPr>
          <w:rFonts w:hint="eastAsia" w:ascii="方正仿宋_GBK" w:hAnsi="方正仿宋_GBK" w:eastAsia="方正仿宋_GBK" w:cs="方正仿宋_GBK"/>
          <w:color w:val="000000"/>
          <w:sz w:val="28"/>
          <w:szCs w:val="28"/>
        </w:rPr>
        <w:t>无</w:t>
      </w:r>
    </w:p>
    <w:p>
      <w:pPr>
        <w:numPr>
          <w:ilvl w:val="0"/>
          <w:numId w:val="1"/>
        </w:numPr>
        <w:spacing w:line="540" w:lineRule="exact"/>
        <w:outlineLvl w:val="1"/>
        <w:rPr>
          <w:rFonts w:ascii="Times New Roman" w:hAnsi="Times New Roman" w:eastAsia="黑体"/>
          <w:color w:val="000000"/>
          <w:sz w:val="28"/>
          <w:szCs w:val="28"/>
        </w:rPr>
      </w:pPr>
      <w:bookmarkStart w:id="9" w:name="_Toc15138560_WPSOffice_Level1"/>
      <w:r>
        <w:rPr>
          <w:rFonts w:hint="eastAsia" w:ascii="Times New Roman" w:hAnsi="Times New Roman" w:eastAsia="黑体"/>
          <w:color w:val="000000"/>
          <w:sz w:val="28"/>
          <w:szCs w:val="28"/>
        </w:rPr>
        <w:t>行政许可证件</w:t>
      </w:r>
      <w:bookmarkEnd w:id="9"/>
    </w:p>
    <w:p>
      <w:pPr>
        <w:spacing w:line="540" w:lineRule="exact"/>
        <w:ind w:firstLine="562" w:firstLineChars="200"/>
        <w:outlineLvl w:val="2"/>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1.审批结果类型：</w:t>
      </w:r>
      <w:r>
        <w:rPr>
          <w:rFonts w:ascii="方正仿宋_GBK" w:hAnsi="方正仿宋_GBK" w:eastAsia="方正仿宋_GBK" w:cs="方正仿宋_GBK"/>
          <w:color w:val="000000"/>
          <w:sz w:val="28"/>
          <w:szCs w:val="28"/>
        </w:rPr>
        <w:t>批文</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2.行政许可证件名称：</w:t>
      </w:r>
      <w:r>
        <w:rPr>
          <w:rFonts w:hint="eastAsia" w:ascii="方正仿宋_GBK" w:hAnsi="方正仿宋_GBK" w:eastAsia="方正仿宋_GBK" w:cs="方正仿宋_GBK"/>
          <w:color w:val="000000"/>
          <w:sz w:val="28"/>
          <w:szCs w:val="28"/>
        </w:rPr>
        <w:t>贸易外汇业务登记表</w:t>
      </w:r>
    </w:p>
    <w:p>
      <w:pPr>
        <w:spacing w:line="540" w:lineRule="exact"/>
        <w:ind w:firstLine="562" w:firstLineChars="200"/>
        <w:outlineLvl w:val="2"/>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3.行政许可证件的有效期限：</w:t>
      </w:r>
      <w:r>
        <w:rPr>
          <w:rFonts w:hint="eastAsia" w:ascii="方正仿宋_GBK" w:hAnsi="方正仿宋_GBK" w:eastAsia="方正仿宋_GBK" w:cs="方正仿宋_GBK"/>
          <w:color w:val="000000"/>
          <w:sz w:val="28"/>
          <w:szCs w:val="28"/>
          <w:lang w:val="en-US" w:eastAsia="zh-CN"/>
        </w:rPr>
        <w:t>原则上不超过1个月</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4.规定行政许可证件有效期限的依据：</w:t>
      </w:r>
      <w:r>
        <w:rPr>
          <w:rFonts w:hint="eastAsia" w:ascii="方正仿宋_GBK" w:hAnsi="方正仿宋_GBK" w:eastAsia="方正仿宋_GBK" w:cs="方正仿宋_GBK"/>
          <w:color w:val="000000"/>
          <w:sz w:val="28"/>
          <w:szCs w:val="28"/>
        </w:rPr>
        <w:t>《国家外汇管理局关于进一步优化贸易外汇业务管理的通知》（汇发﹝2024﹞11号）附件2《贸易外汇业务登记表》备注：《登记表》的有效期原则上不超过1个月。</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5.是否需要办理审批结果变更手续：</w:t>
      </w:r>
      <w:r>
        <w:rPr>
          <w:rFonts w:ascii="方正仿宋_GBK" w:hAnsi="方正仿宋_GBK" w:eastAsia="方正仿宋_GBK" w:cs="方正仿宋_GBK"/>
          <w:color w:val="000000"/>
          <w:sz w:val="28"/>
          <w:szCs w:val="28"/>
        </w:rPr>
        <w:t>否</w:t>
      </w:r>
    </w:p>
    <w:p>
      <w:pPr>
        <w:spacing w:line="540" w:lineRule="exact"/>
        <w:ind w:firstLine="562" w:firstLineChars="200"/>
        <w:outlineLvl w:val="2"/>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6.办理审批结果变更手续的要求:</w:t>
      </w:r>
      <w:r>
        <w:rPr>
          <w:rFonts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7.是否需要办理审批结果延续手续：</w:t>
      </w:r>
      <w:r>
        <w:rPr>
          <w:rFonts w:hint="eastAsia" w:ascii="方正仿宋_GBK" w:hAnsi="方正仿宋_GBK" w:eastAsia="方正仿宋_GBK" w:cs="方正仿宋_GBK"/>
          <w:color w:val="000000"/>
          <w:sz w:val="28"/>
          <w:szCs w:val="28"/>
          <w:lang w:eastAsia="zh-CN"/>
        </w:rPr>
        <w:t>否</w:t>
      </w:r>
    </w:p>
    <w:p>
      <w:pPr>
        <w:spacing w:line="540" w:lineRule="exact"/>
        <w:ind w:firstLine="562" w:firstLineChars="200"/>
        <w:outlineLvl w:val="2"/>
        <w:rPr>
          <w:rFonts w:ascii="Times New Roman" w:hAnsi="Times New Roman" w:eastAsia="仿宋GB2312"/>
          <w:color w:val="000000"/>
          <w:sz w:val="32"/>
          <w:szCs w:val="32"/>
        </w:rPr>
      </w:pPr>
      <w:r>
        <w:rPr>
          <w:rFonts w:hint="eastAsia" w:ascii="Times New Roman" w:hAnsi="Times New Roman" w:eastAsia="仿宋GB2312"/>
          <w:b/>
          <w:bCs/>
          <w:color w:val="000000"/>
          <w:sz w:val="28"/>
          <w:szCs w:val="28"/>
        </w:rPr>
        <w:t>8.办理审批结果延续手续的要求:</w:t>
      </w:r>
      <w:r>
        <w:rPr>
          <w:rFonts w:hint="eastAsia" w:ascii="方正仿宋_GBK" w:hAnsi="方正仿宋_GBK" w:eastAsia="方正仿宋_GBK" w:cs="方正仿宋_GBK"/>
          <w:color w:val="000000"/>
          <w:sz w:val="28"/>
          <w:szCs w:val="28"/>
          <w:lang w:eastAsia="zh-CN"/>
        </w:rPr>
        <w:t>无</w:t>
      </w:r>
    </w:p>
    <w:p>
      <w:pPr>
        <w:spacing w:line="540" w:lineRule="exact"/>
        <w:ind w:firstLine="562" w:firstLineChars="200"/>
        <w:outlineLvl w:val="2"/>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9.审批结果的有效地域范围:</w:t>
      </w:r>
      <w:r>
        <w:rPr>
          <w:rFonts w:hint="eastAsia" w:ascii="方正仿宋_GBK" w:hAnsi="方正仿宋_GBK" w:eastAsia="方正仿宋_GBK" w:cs="方正仿宋_GBK"/>
          <w:color w:val="000000"/>
          <w:sz w:val="28"/>
          <w:szCs w:val="28"/>
        </w:rPr>
        <w:t>全国</w:t>
      </w:r>
    </w:p>
    <w:p>
      <w:pPr>
        <w:spacing w:line="540" w:lineRule="exact"/>
        <w:ind w:firstLine="562" w:firstLineChars="200"/>
        <w:outlineLvl w:val="2"/>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10.规定审批结果有效地域范围的依据:</w:t>
      </w:r>
      <w:r>
        <w:rPr>
          <w:rFonts w:hint="eastAsia" w:ascii="方正仿宋_GBK" w:hAnsi="方正仿宋_GBK" w:eastAsia="方正仿宋_GBK" w:cs="方正仿宋_GBK"/>
          <w:color w:val="000000"/>
          <w:sz w:val="28"/>
          <w:szCs w:val="28"/>
        </w:rPr>
        <w:t>无</w:t>
      </w:r>
    </w:p>
    <w:p>
      <w:pPr>
        <w:numPr>
          <w:ilvl w:val="0"/>
          <w:numId w:val="1"/>
        </w:numPr>
        <w:spacing w:line="540" w:lineRule="exact"/>
        <w:outlineLvl w:val="1"/>
        <w:rPr>
          <w:rFonts w:ascii="Times New Roman" w:hAnsi="Times New Roman" w:eastAsia="黑体"/>
          <w:color w:val="000000"/>
          <w:sz w:val="28"/>
          <w:szCs w:val="28"/>
        </w:rPr>
      </w:pPr>
      <w:bookmarkStart w:id="10" w:name="_Toc718725018_WPSOffice_Level1"/>
      <w:r>
        <w:rPr>
          <w:rFonts w:hint="eastAsia" w:ascii="Times New Roman" w:hAnsi="Times New Roman" w:eastAsia="黑体"/>
          <w:color w:val="000000"/>
          <w:sz w:val="28"/>
          <w:szCs w:val="28"/>
        </w:rPr>
        <w:t>行政许可数量限制</w:t>
      </w:r>
      <w:bookmarkEnd w:id="10"/>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1.有无行政许可数量限制：</w:t>
      </w:r>
      <w:r>
        <w:rPr>
          <w:rFonts w:hint="eastAsia" w:ascii="方正仿宋_GBK" w:hAnsi="方正仿宋_GBK" w:eastAsia="方正仿宋_GBK" w:cs="方正仿宋_GBK"/>
          <w:color w:val="000000"/>
          <w:sz w:val="28"/>
          <w:szCs w:val="28"/>
        </w:rPr>
        <w:t>无</w:t>
      </w:r>
    </w:p>
    <w:p>
      <w:pPr>
        <w:spacing w:line="540" w:lineRule="exact"/>
        <w:ind w:firstLine="562" w:firstLineChars="200"/>
        <w:outlineLvl w:val="2"/>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2.公布数量限制的方式：</w:t>
      </w:r>
      <w:r>
        <w:rPr>
          <w:rFonts w:hint="eastAsia" w:ascii="方正仿宋_GBK" w:hAnsi="方正仿宋_GBK" w:eastAsia="方正仿宋_GBK" w:cs="方正仿宋_GBK"/>
          <w:color w:val="000000"/>
          <w:sz w:val="28"/>
          <w:szCs w:val="28"/>
        </w:rPr>
        <w:t>无</w:t>
      </w:r>
    </w:p>
    <w:p>
      <w:pPr>
        <w:spacing w:line="540" w:lineRule="exact"/>
        <w:ind w:firstLine="562" w:firstLineChars="200"/>
        <w:outlineLvl w:val="2"/>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3.公布数量限制的周期：</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4.在数量限制条件下实施行政许可的方式：</w:t>
      </w:r>
      <w:r>
        <w:rPr>
          <w:rFonts w:hint="eastAsia" w:ascii="方正仿宋_GBK" w:hAnsi="方正仿宋_GBK" w:eastAsia="方正仿宋_GBK" w:cs="方正仿宋_GBK"/>
          <w:color w:val="000000"/>
          <w:sz w:val="28"/>
          <w:szCs w:val="28"/>
        </w:rPr>
        <w:t>无</w:t>
      </w:r>
    </w:p>
    <w:p>
      <w:pPr>
        <w:spacing w:line="600" w:lineRule="exact"/>
        <w:ind w:firstLine="562" w:firstLineChars="200"/>
        <w:jc w:val="left"/>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5.规定在数量限制条件下实施行政许可方式的依据:</w:t>
      </w:r>
      <w:r>
        <w:rPr>
          <w:rFonts w:hint="eastAsia" w:ascii="方正仿宋_GBK" w:hAnsi="方正仿宋_GBK" w:eastAsia="方正仿宋_GBK" w:cs="方正仿宋_GBK"/>
          <w:color w:val="000000"/>
          <w:sz w:val="28"/>
          <w:szCs w:val="28"/>
        </w:rPr>
        <w:t>无</w:t>
      </w:r>
    </w:p>
    <w:p>
      <w:pPr>
        <w:numPr>
          <w:ilvl w:val="0"/>
          <w:numId w:val="1"/>
        </w:numPr>
        <w:spacing w:line="540" w:lineRule="exact"/>
        <w:outlineLvl w:val="1"/>
        <w:rPr>
          <w:rFonts w:ascii="Times New Roman" w:hAnsi="Times New Roman" w:eastAsia="黑体"/>
          <w:color w:val="000000"/>
          <w:sz w:val="28"/>
          <w:szCs w:val="28"/>
        </w:rPr>
      </w:pPr>
      <w:bookmarkStart w:id="11" w:name="_Toc1266337716_WPSOffice_Level1"/>
      <w:r>
        <w:rPr>
          <w:rFonts w:hint="eastAsia" w:ascii="Times New Roman" w:hAnsi="Times New Roman" w:eastAsia="黑体"/>
          <w:color w:val="000000"/>
          <w:sz w:val="28"/>
          <w:szCs w:val="28"/>
        </w:rPr>
        <w:t>行政许可后年检</w:t>
      </w:r>
      <w:bookmarkEnd w:id="11"/>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1.有无年检要求：</w:t>
      </w:r>
      <w:r>
        <w:rPr>
          <w:rFonts w:hint="eastAsia" w:ascii="方正仿宋_GBK" w:hAnsi="方正仿宋_GBK" w:eastAsia="方正仿宋_GBK" w:cs="方正仿宋_GBK"/>
          <w:color w:val="000000"/>
          <w:sz w:val="28"/>
          <w:szCs w:val="28"/>
        </w:rPr>
        <w:t>无</w:t>
      </w:r>
    </w:p>
    <w:p>
      <w:pPr>
        <w:spacing w:line="540" w:lineRule="exact"/>
        <w:ind w:firstLine="562" w:firstLineChars="200"/>
        <w:outlineLvl w:val="2"/>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2.设定年检要求的依据:</w:t>
      </w:r>
      <w:r>
        <w:rPr>
          <w:rFonts w:hint="eastAsia" w:ascii="方正仿宋_GBK" w:hAnsi="方正仿宋_GBK" w:eastAsia="方正仿宋_GBK" w:cs="方正仿宋_GBK"/>
          <w:color w:val="000000"/>
          <w:sz w:val="28"/>
          <w:szCs w:val="28"/>
        </w:rPr>
        <w:t>无</w:t>
      </w:r>
    </w:p>
    <w:p>
      <w:pPr>
        <w:spacing w:line="540" w:lineRule="exact"/>
        <w:ind w:firstLine="562" w:firstLineChars="200"/>
        <w:outlineLvl w:val="2"/>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3.年检周期：</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4.年检是否要求报送材料：</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5.年检报送材料名称：:</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6.年检是否收费：</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7.年检收费项目的名称、年检收费项目的标准、设定年检收费项目的依据、规定年检项目收费标准的依据:</w:t>
      </w:r>
      <w:r>
        <w:rPr>
          <w:rFonts w:hint="eastAsia" w:ascii="方正仿宋_GBK" w:hAnsi="方正仿宋_GBK" w:eastAsia="方正仿宋_GBK" w:cs="方正仿宋_GBK"/>
          <w:color w:val="000000"/>
          <w:sz w:val="28"/>
          <w:szCs w:val="28"/>
        </w:rPr>
        <w:t>无</w:t>
      </w:r>
    </w:p>
    <w:p>
      <w:pPr>
        <w:spacing w:line="540" w:lineRule="exact"/>
        <w:ind w:firstLine="562" w:firstLineChars="200"/>
        <w:outlineLvl w:val="2"/>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8.通过年检的证明或者标志：</w:t>
      </w:r>
      <w:r>
        <w:rPr>
          <w:rFonts w:hint="eastAsia" w:ascii="方正仿宋_GBK" w:hAnsi="方正仿宋_GBK" w:eastAsia="方正仿宋_GBK" w:cs="方正仿宋_GBK"/>
          <w:color w:val="000000"/>
          <w:sz w:val="28"/>
          <w:szCs w:val="28"/>
        </w:rPr>
        <w:t>无</w:t>
      </w:r>
    </w:p>
    <w:p>
      <w:pPr>
        <w:numPr>
          <w:ilvl w:val="0"/>
          <w:numId w:val="1"/>
        </w:numPr>
        <w:spacing w:line="540" w:lineRule="exact"/>
        <w:outlineLvl w:val="1"/>
        <w:rPr>
          <w:rFonts w:ascii="Times New Roman" w:hAnsi="Times New Roman" w:eastAsia="黑体"/>
          <w:color w:val="000000"/>
          <w:sz w:val="28"/>
          <w:szCs w:val="28"/>
        </w:rPr>
      </w:pPr>
      <w:bookmarkStart w:id="12" w:name="_Toc175548163_WPSOffice_Level1"/>
      <w:r>
        <w:rPr>
          <w:rFonts w:hint="eastAsia" w:ascii="Times New Roman" w:hAnsi="Times New Roman" w:eastAsia="黑体"/>
          <w:color w:val="000000"/>
          <w:sz w:val="28"/>
          <w:szCs w:val="28"/>
        </w:rPr>
        <w:t>行政许可后年报</w:t>
      </w:r>
      <w:bookmarkEnd w:id="12"/>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1.</w:t>
      </w:r>
      <w:r>
        <w:rPr>
          <w:rFonts w:ascii="Times New Roman" w:hAnsi="Times New Roman" w:eastAsia="仿宋GB2312"/>
          <w:b/>
          <w:bCs/>
          <w:color w:val="000000"/>
          <w:sz w:val="28"/>
          <w:szCs w:val="28"/>
        </w:rPr>
        <w:t>有无年报要求</w:t>
      </w:r>
      <w:r>
        <w:rPr>
          <w:rFonts w:hint="eastAsia" w:ascii="Times New Roman" w:hAnsi="Times New Roman" w:eastAsia="仿宋GB2312"/>
          <w:b/>
          <w:bCs/>
          <w:color w:val="000000"/>
          <w:sz w:val="28"/>
          <w:szCs w:val="28"/>
        </w:rPr>
        <w:t>：</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2.</w:t>
      </w:r>
      <w:r>
        <w:rPr>
          <w:rFonts w:ascii="Times New Roman" w:hAnsi="Times New Roman" w:eastAsia="仿宋GB2312"/>
          <w:b/>
          <w:bCs/>
          <w:color w:val="000000"/>
          <w:sz w:val="28"/>
          <w:szCs w:val="28"/>
        </w:rPr>
        <w:t>年报报送材料名称</w:t>
      </w:r>
      <w:r>
        <w:rPr>
          <w:rFonts w:hint="eastAsia" w:ascii="Times New Roman" w:hAnsi="Times New Roman" w:eastAsia="仿宋GB2312"/>
          <w:b/>
          <w:bCs/>
          <w:color w:val="000000"/>
          <w:sz w:val="28"/>
          <w:szCs w:val="28"/>
        </w:rPr>
        <w:t>：</w:t>
      </w:r>
      <w:r>
        <w:rPr>
          <w:rFonts w:hint="eastAsia" w:ascii="方正仿宋_GBK" w:hAnsi="方正仿宋_GBK" w:eastAsia="方正仿宋_GBK" w:cs="方正仿宋_GBK"/>
          <w:color w:val="000000"/>
          <w:sz w:val="28"/>
          <w:szCs w:val="28"/>
        </w:rPr>
        <w:t>无</w:t>
      </w:r>
    </w:p>
    <w:p>
      <w:pPr>
        <w:spacing w:line="540" w:lineRule="exact"/>
        <w:ind w:firstLine="562" w:firstLineChars="200"/>
        <w:outlineLvl w:val="2"/>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3.</w:t>
      </w:r>
      <w:r>
        <w:rPr>
          <w:rFonts w:ascii="Times New Roman" w:hAnsi="Times New Roman" w:eastAsia="仿宋GB2312"/>
          <w:b/>
          <w:bCs/>
          <w:color w:val="000000"/>
          <w:sz w:val="28"/>
          <w:szCs w:val="28"/>
        </w:rPr>
        <w:t>设定年报要求的依据</w:t>
      </w:r>
      <w:r>
        <w:rPr>
          <w:rFonts w:hint="eastAsia" w:ascii="Times New Roman" w:hAnsi="Times New Roman" w:eastAsia="仿宋GB2312"/>
          <w:b/>
          <w:bCs/>
          <w:color w:val="000000"/>
          <w:sz w:val="28"/>
          <w:szCs w:val="28"/>
        </w:rPr>
        <w:t>:</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Times New Roman" w:hAnsi="Times New Roman" w:eastAsia="仿宋GB2312"/>
          <w:color w:val="000000"/>
          <w:sz w:val="28"/>
          <w:szCs w:val="28"/>
        </w:rPr>
      </w:pPr>
      <w:r>
        <w:rPr>
          <w:rFonts w:hint="eastAsia" w:ascii="Times New Roman" w:hAnsi="Times New Roman" w:eastAsia="仿宋GB2312"/>
          <w:b/>
          <w:bCs/>
          <w:color w:val="000000"/>
          <w:sz w:val="28"/>
          <w:szCs w:val="28"/>
        </w:rPr>
        <w:t>4.</w:t>
      </w:r>
      <w:r>
        <w:rPr>
          <w:rFonts w:ascii="Times New Roman" w:hAnsi="Times New Roman" w:eastAsia="仿宋GB2312"/>
          <w:b/>
          <w:bCs/>
          <w:color w:val="000000"/>
          <w:sz w:val="28"/>
          <w:szCs w:val="28"/>
        </w:rPr>
        <w:t>年报周期</w:t>
      </w:r>
      <w:r>
        <w:rPr>
          <w:rFonts w:hint="eastAsia" w:ascii="Times New Roman" w:hAnsi="Times New Roman" w:eastAsia="仿宋GB2312"/>
          <w:b/>
          <w:bCs/>
          <w:color w:val="000000"/>
          <w:sz w:val="28"/>
          <w:szCs w:val="28"/>
        </w:rPr>
        <w:t>：</w:t>
      </w:r>
      <w:r>
        <w:rPr>
          <w:rFonts w:hint="eastAsia" w:ascii="方正仿宋_GBK" w:hAnsi="方正仿宋_GBK" w:eastAsia="方正仿宋_GBK" w:cs="方正仿宋_GBK"/>
          <w:color w:val="000000"/>
          <w:sz w:val="28"/>
          <w:szCs w:val="28"/>
        </w:rPr>
        <w:t>无</w:t>
      </w:r>
    </w:p>
    <w:p>
      <w:pPr>
        <w:numPr>
          <w:ilvl w:val="0"/>
          <w:numId w:val="1"/>
        </w:numPr>
        <w:spacing w:line="540" w:lineRule="exact"/>
        <w:outlineLvl w:val="1"/>
        <w:rPr>
          <w:rFonts w:ascii="Times New Roman" w:hAnsi="Times New Roman" w:eastAsia="黑体"/>
          <w:color w:val="000000"/>
          <w:sz w:val="28"/>
          <w:szCs w:val="28"/>
        </w:rPr>
      </w:pPr>
      <w:bookmarkStart w:id="13" w:name="_Toc644441883_WPSOffice_Level1"/>
      <w:r>
        <w:rPr>
          <w:rFonts w:hint="eastAsia" w:ascii="Times New Roman" w:hAnsi="Times New Roman" w:eastAsia="黑体"/>
          <w:color w:val="000000"/>
          <w:sz w:val="28"/>
          <w:szCs w:val="28"/>
        </w:rPr>
        <w:t>监管主体</w:t>
      </w:r>
      <w:bookmarkEnd w:id="13"/>
    </w:p>
    <w:p>
      <w:pPr>
        <w:spacing w:line="540" w:lineRule="exact"/>
        <w:ind w:firstLine="420"/>
        <w:outlineLvl w:val="1"/>
        <w:rPr>
          <w:rFonts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国家外汇管理局</w:t>
      </w:r>
      <w:r>
        <w:rPr>
          <w:rFonts w:hint="eastAsia" w:ascii="方正仿宋_GBK" w:hAnsi="方正仿宋_GBK" w:eastAsia="方正仿宋_GBK" w:cs="方正仿宋_GBK"/>
          <w:color w:val="000000"/>
          <w:sz w:val="28"/>
          <w:szCs w:val="28"/>
          <w:lang w:eastAsia="zh-CN"/>
        </w:rPr>
        <w:t>安徽省</w:t>
      </w:r>
      <w:r>
        <w:rPr>
          <w:rFonts w:hint="eastAsia" w:ascii="方正仿宋_GBK" w:hAnsi="方正仿宋_GBK" w:eastAsia="方正仿宋_GBK" w:cs="方正仿宋_GBK"/>
          <w:color w:val="000000"/>
          <w:sz w:val="28"/>
          <w:szCs w:val="28"/>
        </w:rPr>
        <w:t>分局</w:t>
      </w:r>
    </w:p>
    <w:p>
      <w:pPr>
        <w:spacing w:line="540" w:lineRule="exact"/>
        <w:outlineLvl w:val="1"/>
        <w:rPr>
          <w:rFonts w:ascii="Times New Roman" w:hAnsi="Times New Roman" w:eastAsia="黑体"/>
          <w:color w:val="000000"/>
          <w:sz w:val="28"/>
          <w:szCs w:val="28"/>
        </w:rPr>
      </w:pPr>
      <w:bookmarkStart w:id="14" w:name="_Toc1293375433_WPSOffice_Level1"/>
      <w:r>
        <w:rPr>
          <w:rFonts w:hint="eastAsia" w:ascii="Times New Roman" w:hAnsi="Times New Roman" w:eastAsia="黑体"/>
          <w:color w:val="000000"/>
          <w:sz w:val="28"/>
          <w:szCs w:val="28"/>
        </w:rPr>
        <w:t>十五、业务办理信息</w:t>
      </w:r>
      <w:bookmarkEnd w:id="14"/>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1.是否通办：</w:t>
      </w:r>
      <w:r>
        <w:rPr>
          <w:rFonts w:hint="eastAsia" w:ascii="方正仿宋_GBK" w:hAnsi="方正仿宋_GBK" w:eastAsia="方正仿宋_GBK" w:cs="方正仿宋_GBK"/>
          <w:color w:val="000000"/>
          <w:sz w:val="28"/>
          <w:szCs w:val="28"/>
        </w:rPr>
        <w:t>否</w:t>
      </w:r>
    </w:p>
    <w:p>
      <w:pPr>
        <w:spacing w:line="600" w:lineRule="exact"/>
        <w:ind w:firstLine="562" w:firstLineChars="200"/>
        <w:rPr>
          <w:rFonts w:ascii="方正仿宋_GBK" w:hAnsi="方正仿宋_GBK" w:eastAsia="仿宋GB2312" w:cs="方正仿宋_GBK"/>
          <w:color w:val="000000"/>
          <w:sz w:val="28"/>
          <w:szCs w:val="28"/>
        </w:rPr>
      </w:pPr>
      <w:r>
        <w:rPr>
          <w:rFonts w:hint="eastAsia" w:ascii="Times New Roman" w:hAnsi="Times New Roman" w:eastAsia="仿宋GB2312"/>
          <w:b/>
          <w:bCs/>
          <w:color w:val="000000"/>
          <w:sz w:val="28"/>
          <w:szCs w:val="28"/>
        </w:rPr>
        <w:t>2.通办业务模式：</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方正仿宋_GBK" w:hAnsi="方正仿宋_GBK" w:eastAsia="仿宋GB2312" w:cs="方正仿宋_GBK"/>
          <w:color w:val="000000"/>
          <w:sz w:val="28"/>
          <w:szCs w:val="28"/>
        </w:rPr>
      </w:pPr>
      <w:r>
        <w:rPr>
          <w:rFonts w:hint="eastAsia" w:ascii="Times New Roman" w:hAnsi="Times New Roman" w:eastAsia="仿宋GB2312"/>
          <w:b/>
          <w:bCs/>
          <w:color w:val="000000"/>
          <w:sz w:val="28"/>
          <w:szCs w:val="28"/>
        </w:rPr>
        <w:t>3.跨省通办事项名称：</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方正仿宋_GBK" w:hAnsi="方正仿宋_GBK" w:eastAsia="仿宋GB2312" w:cs="方正仿宋_GBK"/>
          <w:color w:val="000000"/>
          <w:sz w:val="28"/>
          <w:szCs w:val="28"/>
        </w:rPr>
      </w:pPr>
      <w:r>
        <w:rPr>
          <w:rFonts w:hint="eastAsia" w:ascii="Times New Roman" w:hAnsi="Times New Roman" w:eastAsia="仿宋GB2312"/>
          <w:b/>
          <w:bCs/>
          <w:color w:val="000000"/>
          <w:sz w:val="28"/>
          <w:szCs w:val="28"/>
        </w:rPr>
        <w:t>4.是否是35号文中的跨省通办事项：</w:t>
      </w:r>
      <w:r>
        <w:rPr>
          <w:rFonts w:hint="eastAsia" w:ascii="方正仿宋_GBK" w:hAnsi="方正仿宋_GBK" w:eastAsia="方正仿宋_GBK" w:cs="方正仿宋_GBK"/>
          <w:color w:val="000000"/>
          <w:sz w:val="28"/>
          <w:szCs w:val="28"/>
        </w:rPr>
        <w:t>无</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5.是否网办：</w:t>
      </w:r>
      <w:r>
        <w:rPr>
          <w:rFonts w:ascii="方正仿宋_GBK" w:hAnsi="方正仿宋_GBK" w:eastAsia="方正仿宋_GBK" w:cs="方正仿宋_GBK"/>
          <w:color w:val="000000"/>
          <w:sz w:val="28"/>
          <w:szCs w:val="28"/>
        </w:rPr>
        <w:t>否</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6.到办事现场次数：</w:t>
      </w:r>
      <w:r>
        <w:rPr>
          <w:rFonts w:hint="eastAsia" w:ascii="方正仿宋_GBK" w:hAnsi="方正仿宋_GBK" w:eastAsia="方正仿宋_GBK" w:cs="方正仿宋_GBK"/>
          <w:color w:val="000000"/>
          <w:sz w:val="28"/>
          <w:szCs w:val="28"/>
        </w:rPr>
        <w:t>1</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lang w:val="en-US" w:eastAsia="zh-CN"/>
        </w:rPr>
        <w:t>7</w:t>
      </w:r>
      <w:r>
        <w:rPr>
          <w:rFonts w:hint="eastAsia" w:ascii="Times New Roman" w:hAnsi="Times New Roman" w:eastAsia="仿宋GB2312"/>
          <w:b/>
          <w:bCs/>
          <w:color w:val="000000"/>
          <w:sz w:val="28"/>
          <w:szCs w:val="28"/>
        </w:rPr>
        <w:t>.必须现场办理原因说明：</w:t>
      </w:r>
      <w:r>
        <w:rPr>
          <w:rFonts w:hint="eastAsia" w:ascii="方正仿宋_GBK" w:hAnsi="方正仿宋_GBK" w:eastAsia="方正仿宋_GBK" w:cs="方正仿宋_GBK"/>
          <w:color w:val="000000"/>
          <w:sz w:val="28"/>
          <w:szCs w:val="28"/>
        </w:rPr>
        <w:t>尚不适合互联网办理</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lang w:val="en-US" w:eastAsia="zh-CN"/>
        </w:rPr>
        <w:t>8</w:t>
      </w:r>
      <w:r>
        <w:rPr>
          <w:rFonts w:hint="eastAsia" w:ascii="Times New Roman" w:hAnsi="Times New Roman" w:eastAsia="仿宋GB2312"/>
          <w:b/>
          <w:bCs/>
          <w:color w:val="000000"/>
          <w:sz w:val="28"/>
          <w:szCs w:val="28"/>
        </w:rPr>
        <w:t>.是否进驻政务大厅：</w:t>
      </w:r>
      <w:r>
        <w:rPr>
          <w:rFonts w:ascii="方正仿宋_GBK" w:hAnsi="方正仿宋_GBK" w:eastAsia="方正仿宋_GBK" w:cs="方正仿宋_GBK"/>
          <w:color w:val="000000"/>
          <w:sz w:val="28"/>
          <w:szCs w:val="28"/>
        </w:rPr>
        <w:t>否</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lang w:val="en-US" w:eastAsia="zh-CN"/>
        </w:rPr>
        <w:t>9</w:t>
      </w:r>
      <w:r>
        <w:rPr>
          <w:rFonts w:hint="eastAsia" w:ascii="Times New Roman" w:hAnsi="Times New Roman" w:eastAsia="仿宋GB2312"/>
          <w:b/>
          <w:bCs/>
          <w:color w:val="000000"/>
          <w:sz w:val="28"/>
          <w:szCs w:val="28"/>
        </w:rPr>
        <w:t>.办理地点：</w:t>
      </w:r>
      <w:r>
        <w:rPr>
          <w:rFonts w:hint="eastAsia" w:ascii="方正仿宋_GBK" w:hAnsi="方正仿宋_GBK" w:eastAsia="方正仿宋_GBK" w:cs="方正仿宋_GBK"/>
          <w:color w:val="000000"/>
          <w:sz w:val="28"/>
          <w:szCs w:val="28"/>
        </w:rPr>
        <w:t>合肥市滨湖新区洞庭湖路3366号</w:t>
      </w:r>
    </w:p>
    <w:p>
      <w:pPr>
        <w:spacing w:line="600" w:lineRule="exact"/>
        <w:ind w:firstLine="562" w:firstLineChars="200"/>
        <w:rPr>
          <w:rFonts w:ascii="Times New Roman" w:hAnsi="Times New Roman" w:eastAsia="仿宋GB2312"/>
          <w:b/>
          <w:bCs/>
          <w:color w:val="000000"/>
          <w:sz w:val="28"/>
          <w:szCs w:val="28"/>
        </w:rPr>
      </w:pPr>
      <w:r>
        <w:rPr>
          <w:rFonts w:hint="eastAsia" w:ascii="Times New Roman" w:hAnsi="Times New Roman" w:eastAsia="仿宋GB2312"/>
          <w:b/>
          <w:bCs/>
          <w:color w:val="000000"/>
          <w:sz w:val="28"/>
          <w:szCs w:val="28"/>
        </w:rPr>
        <w:t>11.办理时间：</w:t>
      </w:r>
      <w:r>
        <w:rPr>
          <w:rFonts w:hint="eastAsia" w:ascii="方正仿宋_GBK" w:hAnsi="方正仿宋_GBK" w:eastAsia="方正仿宋_GBK" w:cs="方正仿宋_GBK"/>
          <w:color w:val="000000"/>
          <w:sz w:val="28"/>
          <w:szCs w:val="28"/>
        </w:rPr>
        <w:t>工作日上午：8∶30—12∶00，下午：14∶00—17∶00</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12.咨询方式：</w:t>
      </w:r>
      <w:r>
        <w:rPr>
          <w:rFonts w:hint="eastAsia" w:ascii="方正仿宋_GBK" w:hAnsi="方正仿宋_GBK" w:eastAsia="方正仿宋_GBK" w:cs="方正仿宋_GBK"/>
          <w:color w:val="000000"/>
          <w:sz w:val="28"/>
          <w:szCs w:val="28"/>
        </w:rPr>
        <w:t>（</w:t>
      </w:r>
      <w:r>
        <w:rPr>
          <w:rFonts w:hint="eastAsia" w:ascii="方正仿宋_GBK" w:hAnsi="方正仿宋_GBK" w:eastAsia="方正仿宋_GBK" w:cs="方正仿宋_GBK"/>
          <w:color w:val="000000"/>
          <w:sz w:val="28"/>
          <w:szCs w:val="28"/>
          <w:lang w:val="en-US" w:eastAsia="zh-CN"/>
        </w:rPr>
        <w:t>0551</w:t>
      </w:r>
      <w:r>
        <w:rPr>
          <w:rFonts w:hint="eastAsia" w:ascii="方正仿宋_GBK" w:hAnsi="方正仿宋_GBK" w:eastAsia="方正仿宋_GBK" w:cs="方正仿宋_GBK"/>
          <w:color w:val="000000"/>
          <w:sz w:val="28"/>
          <w:szCs w:val="28"/>
        </w:rPr>
        <w:t>）63691392</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13.监督投诉方式：</w:t>
      </w:r>
      <w:r>
        <w:rPr>
          <w:rFonts w:hint="eastAsia" w:ascii="方正仿宋_GBK" w:hAnsi="方正仿宋_GBK" w:eastAsia="方正仿宋_GBK" w:cs="方正仿宋_GBK"/>
          <w:color w:val="000000"/>
          <w:sz w:val="28"/>
          <w:szCs w:val="28"/>
        </w:rPr>
        <w:t>（0551）63691</w:t>
      </w:r>
      <w:r>
        <w:rPr>
          <w:rFonts w:hint="eastAsia" w:ascii="方正仿宋_GBK" w:hAnsi="方正仿宋_GBK" w:eastAsia="方正仿宋_GBK" w:cs="方正仿宋_GBK"/>
          <w:color w:val="000000"/>
          <w:sz w:val="28"/>
          <w:szCs w:val="28"/>
          <w:lang w:val="en-US" w:eastAsia="zh-CN"/>
        </w:rPr>
        <w:t>133</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14.是否支持网上支付：</w:t>
      </w:r>
      <w:r>
        <w:rPr>
          <w:rFonts w:ascii="方正仿宋_GBK" w:hAnsi="方正仿宋_GBK" w:eastAsia="方正仿宋_GBK" w:cs="方正仿宋_GBK"/>
          <w:color w:val="000000"/>
          <w:sz w:val="28"/>
          <w:szCs w:val="28"/>
        </w:rPr>
        <w:t>否</w:t>
      </w:r>
    </w:p>
    <w:p>
      <w:pPr>
        <w:spacing w:line="600" w:lineRule="exact"/>
        <w:ind w:firstLine="562" w:firstLineChars="200"/>
        <w:rPr>
          <w:rFonts w:ascii="方正仿宋_GBK" w:hAnsi="方正仿宋_GBK" w:eastAsia="方正仿宋_GBK" w:cs="方正仿宋_GBK"/>
          <w:color w:val="000000"/>
          <w:sz w:val="28"/>
          <w:szCs w:val="28"/>
        </w:rPr>
      </w:pPr>
      <w:r>
        <w:rPr>
          <w:rFonts w:hint="eastAsia" w:ascii="Times New Roman" w:hAnsi="Times New Roman" w:eastAsia="仿宋GB2312"/>
          <w:b/>
          <w:bCs/>
          <w:color w:val="000000"/>
          <w:sz w:val="28"/>
          <w:szCs w:val="28"/>
        </w:rPr>
        <w:t>15.是否支持物流快递：</w:t>
      </w:r>
      <w:r>
        <w:rPr>
          <w:rFonts w:ascii="方正仿宋_GBK" w:hAnsi="方正仿宋_GBK" w:eastAsia="方正仿宋_GBK" w:cs="方正仿宋_GBK"/>
          <w:color w:val="000000"/>
          <w:sz w:val="28"/>
          <w:szCs w:val="28"/>
        </w:rPr>
        <w:t>否</w:t>
      </w:r>
    </w:p>
    <w:p>
      <w:pPr>
        <w:rPr>
          <w:color w:val="000000"/>
        </w:rPr>
      </w:pPr>
      <w:r>
        <w:rPr>
          <w:color w:val="000000"/>
        </w:rPr>
        <w:br w:type="page"/>
      </w:r>
    </w:p>
    <w:sectPr>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等线">
    <w:altName w:val="仿宋"/>
    <w:panose1 w:val="00000000000000000000"/>
    <w:charset w:val="00"/>
    <w:family w:val="auto"/>
    <w:pitch w:val="default"/>
    <w:sig w:usb0="00000000" w:usb1="38CF7CFA" w:usb2="00000016" w:usb3="00000000" w:csb0="0004000F" w:csb1="00000000"/>
  </w:font>
  <w:font w:name="方正小标宋_GBK">
    <w:altName w:val="微软雅黑"/>
    <w:panose1 w:val="00000000000000000000"/>
    <w:charset w:val="86"/>
    <w:family w:val="auto"/>
    <w:pitch w:val="default"/>
    <w:sig w:usb0="00000000" w:usb1="080E0000" w:usb2="00000000" w:usb3="00000000" w:csb0="00040000" w:csb1="00000000"/>
  </w:font>
  <w:font w:name="仿宋GB2312">
    <w:altName w:val="宋体"/>
    <w:panose1 w:val="00000000000000000000"/>
    <w:charset w:val="00"/>
    <w:family w:val="auto"/>
    <w:pitch w:val="default"/>
    <w:sig w:usb0="00000000" w:usb1="00000000" w:usb2="00000000" w:usb3="00000000" w:csb0="00040001" w:csb1="00000000"/>
  </w:font>
  <w:font w:name="方正仿宋_GBK">
    <w:altName w:val="微软雅黑"/>
    <w:panose1 w:val="00000000000000000000"/>
    <w:charset w:val="86"/>
    <w:family w:val="auto"/>
    <w:pitch w:val="default"/>
    <w:sig w:usb0="00000000" w:usb1="08000000" w:usb2="00000000" w:usb3="00000000" w:csb0="00040000" w:csb1="00000000"/>
  </w:font>
  <w:font w:name="Cambria">
    <w:panose1 w:val="02040503050406030204"/>
    <w:charset w:val="00"/>
    <w:family w:val="auto"/>
    <w:pitch w:val="default"/>
    <w:sig w:usb0="E00002FF" w:usb1="400004FF" w:usb2="00000000" w:usb3="00000000" w:csb0="2000019F" w:csb1="00000000"/>
  </w:font>
  <w:font w:name="Arial Unicode MS">
    <w:altName w:val="宋体"/>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SimSun Western">
    <w:altName w:val="宋体"/>
    <w:panose1 w:val="00000000000000000000"/>
    <w:charset w:val="00"/>
    <w:family w:val="auto"/>
    <w:pitch w:val="default"/>
    <w:sig w:usb0="00000000" w:usb1="00000000" w:usb2="00000000" w:usb3="00000000" w:csb0="00000001" w:csb1="00000000"/>
  </w:font>
  <w:font w:name="Cambria CE">
    <w:altName w:val="Cambria"/>
    <w:panose1 w:val="00000000000000000000"/>
    <w:charset w:val="EE"/>
    <w:family w:val="auto"/>
    <w:pitch w:val="default"/>
    <w:sig w:usb0="00000000" w:usb1="00000000" w:usb2="00000000" w:usb3="00000000" w:csb0="00000002" w:csb1="00000000"/>
  </w:font>
  <w:font w:name="Cambria Cyr">
    <w:altName w:val="Cambria"/>
    <w:panose1 w:val="00000000000000000000"/>
    <w:charset w:val="CC"/>
    <w:family w:val="auto"/>
    <w:pitch w:val="default"/>
    <w:sig w:usb0="00000000" w:usb1="00000000" w:usb2="00000000" w:usb3="00000000" w:csb0="00000004" w:csb1="00000000"/>
  </w:font>
  <w:font w:name="Cambria Greek">
    <w:altName w:val="Cambria"/>
    <w:panose1 w:val="00000000000000000000"/>
    <w:charset w:val="A1"/>
    <w:family w:val="auto"/>
    <w:pitch w:val="default"/>
    <w:sig w:usb0="00000000" w:usb1="00000000" w:usb2="00000000" w:usb3="00000000" w:csb0="00000008" w:csb1="00000000"/>
  </w:font>
  <w:font w:name="Cambria Tur">
    <w:altName w:val="Cambria"/>
    <w:panose1 w:val="00000000000000000000"/>
    <w:charset w:val="A2"/>
    <w:family w:val="auto"/>
    <w:pitch w:val="default"/>
    <w:sig w:usb0="00000000" w:usb1="00000000" w:usb2="00000000" w:usb3="00000000" w:csb0="00000010" w:csb1="00000000"/>
  </w:font>
  <w:font w:name="Cambria Baltic">
    <w:altName w:val="Cambria"/>
    <w:panose1 w:val="00000000000000000000"/>
    <w:charset w:val="BA"/>
    <w:family w:val="auto"/>
    <w:pitch w:val="default"/>
    <w:sig w:usb0="00000000" w:usb1="00000000" w:usb2="00000000" w:usb3="00000000" w:csb0="00000080" w:csb1="00000000"/>
  </w:font>
  <w:font w:name="Cambria (Vietnamese)">
    <w:altName w:val="Cambria"/>
    <w:panose1 w:val="00000000000000000000"/>
    <w:charset w:val="A3"/>
    <w:family w:val="auto"/>
    <w:pitch w:val="default"/>
    <w:sig w:usb0="00000000" w:usb1="00000000" w:usb2="00000000" w:usb3="00000000" w:csb0="00000100" w:csb1="00000000"/>
  </w:font>
  <w:font w:name="Calibri CE">
    <w:altName w:val="Calibri"/>
    <w:panose1 w:val="00000000000000000000"/>
    <w:charset w:val="EE"/>
    <w:family w:val="auto"/>
    <w:pitch w:val="default"/>
    <w:sig w:usb0="00000000" w:usb1="00000000" w:usb2="00000000" w:usb3="00000000" w:csb0="00000002" w:csb1="00000000"/>
  </w:font>
  <w:font w:name="Calibri Cyr">
    <w:altName w:val="Calibri"/>
    <w:panose1 w:val="00000000000000000000"/>
    <w:charset w:val="CC"/>
    <w:family w:val="auto"/>
    <w:pitch w:val="default"/>
    <w:sig w:usb0="00000000" w:usb1="00000000" w:usb2="00000000" w:usb3="00000000" w:csb0="00000004" w:csb1="00000000"/>
  </w:font>
  <w:font w:name="Calibri Greek">
    <w:altName w:val="Calibri"/>
    <w:panose1 w:val="00000000000000000000"/>
    <w:charset w:val="A1"/>
    <w:family w:val="auto"/>
    <w:pitch w:val="default"/>
    <w:sig w:usb0="00000000" w:usb1="00000000" w:usb2="00000000" w:usb3="00000000" w:csb0="00000008" w:csb1="00000000"/>
  </w:font>
  <w:font w:name="Calibri Tur">
    <w:altName w:val="Calibri"/>
    <w:panose1 w:val="00000000000000000000"/>
    <w:charset w:val="A2"/>
    <w:family w:val="auto"/>
    <w:pitch w:val="default"/>
    <w:sig w:usb0="00000000" w:usb1="00000000" w:usb2="00000000" w:usb3="00000000" w:csb0="00000010" w:csb1="00000000"/>
  </w:font>
  <w:font w:name="Calibri Baltic">
    <w:altName w:val="Calibri"/>
    <w:panose1 w:val="00000000000000000000"/>
    <w:charset w:val="BA"/>
    <w:family w:val="auto"/>
    <w:pitch w:val="default"/>
    <w:sig w:usb0="00000000" w:usb1="00000000" w:usb2="00000000" w:usb3="00000000" w:csb0="00000080" w:csb1="00000000"/>
  </w:font>
  <w:font w:name="Calibri (Vietnamese)">
    <w:altName w:val="Calibri"/>
    <w:panose1 w:val="00000000000000000000"/>
    <w:charset w:val="A3"/>
    <w:family w:val="auto"/>
    <w:pitch w:val="default"/>
    <w:sig w:usb0="00000000" w:usb1="00000000" w:usb2="00000000" w:usb3="00000000" w:csb0="00000100" w:csb1="00000000"/>
  </w:font>
  <w:font w:name="SimHei Western">
    <w:altName w:val="黑体"/>
    <w:panose1 w:val="00000000000000000000"/>
    <w:charset w:val="00"/>
    <w:family w:val="auto"/>
    <w:pitch w:val="default"/>
    <w:sig w:usb0="00000000" w:usb1="00000000" w:usb2="00000000" w:usb3="00000000" w:csb0="00000001" w:csb1="00000000"/>
  </w:font>
  <w:font w:name="·ÂËÎ Wester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7243946">
    <w:nsid w:val="65C279AA"/>
    <w:multiLevelType w:val="singleLevel"/>
    <w:tmpl w:val="65C279AA"/>
    <w:lvl w:ilvl="0" w:tentative="1">
      <w:start w:val="1"/>
      <w:numFmt w:val="decimal"/>
      <w:lvlText w:val="%1."/>
      <w:lvlJc w:val="left"/>
      <w:pPr>
        <w:tabs>
          <w:tab w:val="left" w:pos="312"/>
        </w:tabs>
      </w:pPr>
    </w:lvl>
  </w:abstractNum>
  <w:abstractNum w:abstractNumId="4025682833">
    <w:nsid w:val="EFF30B91"/>
    <w:multiLevelType w:val="singleLevel"/>
    <w:tmpl w:val="EFF30B91"/>
    <w:lvl w:ilvl="0" w:tentative="1">
      <w:start w:val="1"/>
      <w:numFmt w:val="chineseCounting"/>
      <w:suff w:val="nothing"/>
      <w:lvlText w:val="%1、"/>
      <w:lvlJc w:val="left"/>
      <w:rPr>
        <w:rFonts w:hint="eastAsia"/>
        <w:lang w:val="en-US"/>
      </w:rPr>
    </w:lvl>
  </w:abstractNum>
  <w:num w:numId="1">
    <w:abstractNumId w:val="4025682833"/>
  </w:num>
  <w:num w:numId="2">
    <w:abstractNumId w:val="17072439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nhideWhenUsed/>
    <w:uiPriority w:val="1"/>
  </w:style>
  <w:style w:type="paragraph" w:styleId="2">
    <w:name w:val="toc 3"/>
    <w:basedOn w:val="1"/>
    <w:next w:val="1"/>
    <w:semiHidden/>
    <w:unhideWhenUsed/>
    <w:uiPriority w:val="39"/>
    <w:pPr>
      <w:ind w:left="840" w:leftChars="400"/>
    </w:pPr>
    <w:rPr>
      <w:rFonts w:hint="eastAsia"/>
    </w:rPr>
  </w:style>
  <w:style w:type="paragraph" w:styleId="3">
    <w:name w:val="footer"/>
    <w:basedOn w:val="1"/>
    <w:link w:val="7"/>
    <w:semiHidden/>
    <w:unhideWhenUsed/>
    <w:uiPriority w:val="99"/>
    <w:pPr>
      <w:tabs>
        <w:tab w:val="center" w:pos="4153"/>
        <w:tab w:val="right" w:pos="8306"/>
      </w:tabs>
      <w:snapToGrid w:val="0"/>
      <w:jc w:val="left"/>
    </w:pPr>
    <w:rPr>
      <w:sz w:val="18"/>
      <w:szCs w:val="18"/>
    </w:rPr>
  </w:style>
  <w:style w:type="paragraph" w:styleId="4">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Char"/>
    <w:basedOn w:val="5"/>
    <w:link w:val="4"/>
    <w:uiPriority w:val="99"/>
    <w:rPr>
      <w:rFonts w:ascii="等线" w:hAnsi="等线" w:eastAsia="等线" w:cs="Times New Roman"/>
      <w:sz w:val="18"/>
      <w:szCs w:val="18"/>
    </w:rPr>
  </w:style>
  <w:style w:type="character" w:customStyle="1" w:styleId="7">
    <w:name w:val="页脚 Char Char"/>
    <w:basedOn w:val="5"/>
    <w:link w:val="3"/>
    <w:uiPriority w:val="99"/>
    <w:rPr>
      <w:rFonts w:ascii="等线" w:hAnsi="等线" w:eastAsia="等线" w:cs="Times New Roman"/>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555</Words>
  <Characters>3166</Characters>
  <Lines>26</Lines>
  <Paragraphs>7</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2023-10-07T06:18:00Z</dcterms:created>
  <dc:creator>kylin</dc:creator>
  <cp:lastModifiedBy>李玮玮</cp:lastModifiedBy>
  <dcterms:modified xsi:type="dcterms:W3CDTF">2024-07-17T05:57:06Z</dcterms:modified>
  <dc:title>支付机构经常项目收支登记新办</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