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地（市）分局办理的发生90 天以上（不含）延期收、付款的B 类企业经常项目收支登记</w:t>
      </w:r>
    </w:p>
    <w:p>
      <w:pPr>
        <w:jc w:val="center"/>
        <w:rPr>
          <w:rFonts w:ascii="方正小标宋_GBK" w:hAnsi="方正小标宋_GBK" w:eastAsia="方正小标宋_GBK" w:cs="方正小标宋_GBK"/>
          <w:color w:val="000000"/>
          <w:sz w:val="40"/>
          <w:szCs w:val="40"/>
        </w:rPr>
      </w:pP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0" w:name="_Toc205928503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基本要素</w:t>
      </w:r>
      <w:bookmarkEnd w:id="0"/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1.行政许可事项名称及编码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经常项目特定收支业务核准【00017110200Y】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2.行政许可事项子项名称及编码</w:t>
      </w:r>
    </w:p>
    <w:p>
      <w:pPr>
        <w:spacing w:line="360" w:lineRule="auto"/>
        <w:ind w:firstLine="562" w:firstLineChars="200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地（市）分局办理的发生90 天以上（不含）延期收、付款的B 类企业经常项目收支登记【000171102011】</w:t>
      </w:r>
    </w:p>
    <w:p>
      <w:pPr>
        <w:spacing w:line="360" w:lineRule="auto"/>
        <w:ind w:firstLine="562" w:firstLineChars="200"/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3.行政许可事项业务办理项名称及编码</w:t>
      </w:r>
    </w:p>
    <w:p>
      <w:pPr>
        <w:spacing w:line="360" w:lineRule="auto"/>
        <w:ind w:firstLine="562" w:firstLineChars="200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地（市）分局办理的发生90 天以上（不含）延期收、付款的B 类企业经常项目收支登记（00017110201101）</w:t>
      </w:r>
    </w:p>
    <w:p>
      <w:pPr>
        <w:spacing w:line="360" w:lineRule="auto"/>
        <w:ind w:firstLine="562" w:firstLineChars="200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4.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设定依据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《国务院对确需保留的行政审批项目设定行政许可的决定》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.实施依据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（1）《经常项目外汇业务指引（2020年版）》（汇发〔2020〕14号文印发）第三十四条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（2）《国家外汇管理局行政许可实施办法》（国家外汇管理局公告2021年第1号）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（3）《国家外汇管理局关于进一步优化贸易外汇业务管理的通知》（汇发﹝2024﹞11号）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.监管依据</w:t>
      </w:r>
    </w:p>
    <w:p>
      <w:pPr>
        <w:spacing w:line="540" w:lineRule="exact"/>
        <w:ind w:firstLine="560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《中华人民共和国外汇管理条例》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.权力来源：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法定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</w:pPr>
      <w:bookmarkStart w:id="1" w:name="_Toc70821178_WPSOffice_Level1"/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8.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实施机关：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</w:rPr>
        <w:t>国家外汇局地（市）分局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实施主体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</w:rPr>
        <w:t>国家外汇局地（市）分局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.实施主体性质：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</w:rPr>
        <w:t>法定机关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审批层级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</w:rPr>
        <w:t>国家级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12.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行使层级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  <w:lang w:val="en-US" w:eastAsia="zh-CN"/>
        </w:rPr>
        <w:t>地市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highlight w:val="none"/>
        </w:rPr>
        <w:t>级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13.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是否由审批机关受理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highlight w:val="none"/>
        </w:rPr>
        <w:t>是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14.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受理层级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highlight w:val="none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highlight w:val="none"/>
          <w:lang w:val="en-US" w:eastAsia="zh-CN"/>
        </w:rPr>
        <w:t>地市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  <w:highlight w:val="none"/>
        </w:rPr>
        <w:t>级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15.是否存在初审环节：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  <w:bookmarkStart w:id="15" w:name="_GoBack"/>
      <w:bookmarkEnd w:id="15"/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16.初审层级：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r>
        <w:rPr>
          <w:rFonts w:hint="eastAsia" w:ascii="Times New Roman" w:hAnsi="Times New Roman" w:eastAsia="黑体"/>
          <w:color w:val="000000"/>
          <w:sz w:val="28"/>
          <w:szCs w:val="28"/>
        </w:rPr>
        <w:t>行政许可事项类型</w:t>
      </w:r>
      <w:bookmarkEnd w:id="1"/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条件型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2" w:name="_Toc590100523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行政许可条件</w:t>
      </w:r>
      <w:bookmarkEnd w:id="2"/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1.准予行政许可的条件</w:t>
      </w:r>
    </w:p>
    <w:p>
      <w:pPr>
        <w:spacing w:line="600" w:lineRule="exact"/>
        <w:ind w:firstLine="560" w:firstLineChars="200"/>
        <w:rPr>
          <w:rFonts w:hint="default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default" w:ascii="方正仿宋_GBK" w:hAnsi="方正仿宋_GBK" w:eastAsia="方正仿宋_GBK" w:cs="方正仿宋_GBK"/>
          <w:color w:val="000000"/>
          <w:sz w:val="28"/>
          <w:szCs w:val="28"/>
        </w:rPr>
        <w:t>基于真实合规的交易背景，且在分类监管有效期内，此前导致降级的情况已改善或纠正,且没有发生新的被列入B类或C类企业情形的，需要办理发生90天以上（不含）延期收、付款的被列入6个月后的B类企业。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规定行政许可条件的依据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家外汇管理局关于进一步优化贸易外汇业务管理的通知》（汇发﹝2024﹞11号）第四条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优化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B、C类企业贸易外汇业务管理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B、C类企业办理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90天以上（不含）的延期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收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款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或延期付款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业务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时，若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在分类监管有效期内,此前导致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列入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B、C类企业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的情况已改善或纠正,且没有发生应被列入B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C类企业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情形,自列入B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C类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企业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之日起6个月后,可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在所在地外汇局办理登记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……。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3.受理条件</w:t>
      </w:r>
    </w:p>
    <w:p>
      <w:pPr>
        <w:spacing w:line="540" w:lineRule="exact"/>
        <w:ind w:firstLine="560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申请材料齐全、符合法定形式。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3" w:name="_Toc1509240106_WPSOffice_Level1"/>
      <w:r>
        <w:rPr>
          <w:rFonts w:ascii="Times New Roman" w:hAnsi="Times New Roman" w:eastAsia="黑体"/>
          <w:color w:val="000000"/>
          <w:sz w:val="28"/>
          <w:szCs w:val="28"/>
        </w:rPr>
        <w:t>行政许可服务对象类型</w:t>
      </w:r>
      <w:r>
        <w:rPr>
          <w:rFonts w:hint="eastAsia" w:ascii="Times New Roman" w:hAnsi="Times New Roman" w:eastAsia="黑体"/>
          <w:color w:val="000000"/>
          <w:sz w:val="28"/>
          <w:szCs w:val="28"/>
        </w:rPr>
        <w:t>与改革举措</w:t>
      </w:r>
      <w:bookmarkEnd w:id="3"/>
    </w:p>
    <w:p>
      <w:pPr>
        <w:numPr>
          <w:ilvl w:val="0"/>
          <w:numId w:val="2"/>
        </w:num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服务对象类型：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企业法人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2.是否为涉企许可事项：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.涉企经营许可事项名称：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.许可证件名称：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.改革方式：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.具体改革举措: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.加强事中事后监管措施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1.开展“双随机、一公开”监管，依法查处违规行为，适时公开相关案例。2.依法及时处理投诉举报。3.开展数据统计与监测，掌握外汇业务情况。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4" w:name="_Toc1561626744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申请材料</w:t>
      </w:r>
      <w:bookmarkEnd w:id="4"/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1.申请材料名称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加盖公章的书面申请（内容包括但不限于说明需登记的事项、具体内容和原因）。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以信用证、托收等方式结算的，提交合同。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以预付、预收货款方式结算的，提交合同和发票。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以其他方式结算的，提交报关单和合同，货物不报关的，可提供运输单据等其他证明材料代替报关单。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收付汇与进出口主体不一致业务，还应区分情况提交捐赠协议、相关部门出具的分立、合并证明文件或其他相关材料。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发生90天以上延期收款、付款的，还应提交需延期的证明材料。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出口贸易融资放款还应提交与金融机构签订的协议和发票。</w:t>
      </w:r>
    </w:p>
    <w:p>
      <w:pPr>
        <w:spacing w:line="540" w:lineRule="exact"/>
        <w:ind w:firstLine="562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外币现钞结汇金额达到规定规定入境申报金额的，还应提交经海关签章的《中华人民共和国海关进境旅客行李物品申报单》。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规定申请材料的依据</w:t>
      </w:r>
    </w:p>
    <w:p>
      <w:pPr>
        <w:spacing w:line="540" w:lineRule="exact"/>
        <w:ind w:firstLine="560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（1）《经常项目外汇业务指引（2020年版）》（汇发〔2020〕14号文印发）第三十四条B类企业在分类监管有效期内的货物贸易外汇收支业务应按照……下列要求办理：</w:t>
      </w:r>
    </w:p>
    <w:p>
      <w:pPr>
        <w:spacing w:line="540" w:lineRule="exact"/>
        <w:ind w:firstLine="560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（一）以信用证、托收方式结算的，除按国际惯例审核有关商业单证外，还应审核合同；以预付货款、预收货款结算的，应审核合同和发票；以其他方式结算的，应审核相应的报关单和合同，货物不报关的，企业可提供运输单据等其他证明材料代替报关单……。</w:t>
      </w:r>
    </w:p>
    <w:p>
      <w:pPr>
        <w:spacing w:line="540" w:lineRule="exact"/>
        <w:ind w:firstLine="560" w:firstLineChars="200"/>
        <w:outlineLvl w:val="2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（2）《国家外汇管理局关于进一步优化贸易外汇业务管理的通知》（汇发﹝2024﹞11号）。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5" w:name="_Toc582359425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中介服务</w:t>
      </w:r>
      <w:bookmarkEnd w:id="5"/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1.有无法定中介服务事项：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中介服务事项名称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设定中介服务事项的依据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: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提供中介服务的机构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5.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中介服务事项的收费性质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6" w:name="_Toc2038745556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审批程序</w:t>
      </w:r>
      <w:bookmarkEnd w:id="6"/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1.办理行政许可的程序环节</w:t>
      </w:r>
    </w:p>
    <w:p>
      <w:pPr>
        <w:spacing w:line="540" w:lineRule="exact"/>
        <w:ind w:firstLine="560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（1）申请人申请；</w:t>
      </w:r>
    </w:p>
    <w:p>
      <w:pPr>
        <w:spacing w:line="540" w:lineRule="exact"/>
        <w:ind w:firstLine="560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（2）审批机构受理/不予受理；</w:t>
      </w:r>
    </w:p>
    <w:p>
      <w:pPr>
        <w:spacing w:line="540" w:lineRule="exact"/>
        <w:ind w:firstLine="560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（3）审批机构审查；</w:t>
      </w:r>
    </w:p>
    <w:p>
      <w:pPr>
        <w:spacing w:line="540" w:lineRule="exact"/>
        <w:ind w:firstLine="560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（4）决定作出许可决定书/不予许可决定书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.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2.规定行政许可程序的依据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《国家外汇管理局行政许可实施办法》（国家外汇管理局公告第1号）第十条外汇局收到行政许可申请后，应区分下列情况分别作出处理：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（一）申请事项属于本局职责范围，但依法不需要取得行政许可的，应即时告知申请人不受理，出具不予受理行政许可通知书；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三）申请事项属于本局职责范围，但申请材料不齐全或不符合法定形式的，应当场或在收到申请材料之日起5个工作日内作出要求申请人补正材料的决定，出具补正告知书，一次性告知申请人需要补正的全部内容；逾期不告知的，自收到申请材料之日起即为受理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申请人拒不补正，或者自补正告知书送达之日起30日内未能提交全部且符合法定形式的补正材料的，应不予受理，出具不予受理行政许可通知书；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申请材料存在文字笔误等可当场更正的错误的，应允许申请人当场更正，并告知其在修改处签字或盖章确认；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《国家外汇管理局行政许可实施办法》（国家外汇管理局公告第1号）第十四条外汇局对行政许可申请审查后，应区分下列情况分别作出处理：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（一）申请符合法定条件、拟准予行政许可的，应出具准予行政许可的书面决定。准予行政许可的书面决定应载明名称、出具单位、被许可人姓名或名称、行政许可事项、颁发日期、有效期（如有）等；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（二）申请不符合法定条件、拟不予行政许可的，应出具不予行政许可决定书，并说明不予行政许可的理由，告知申请人享有依法申请行政复议的权利。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是否需要现场勘验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是否需要组织听证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5.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是否需要招标、拍卖、挂牌交易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6.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是否需要检验、检测、检疫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7.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是否需要鉴定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8.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是否需要专家评审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9.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是否需要向社会公示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10.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是否实行告知承诺办理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11.审批机关是否委托服务机构开展技术性服务：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7" w:name="_Toc1980440012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受理和审批时限</w:t>
      </w:r>
      <w:bookmarkEnd w:id="7"/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1.承诺受理时限：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5个工作日</w:t>
      </w:r>
    </w:p>
    <w:p>
      <w:pPr>
        <w:spacing w:line="540" w:lineRule="exact"/>
        <w:ind w:firstLine="562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2.法定审批时限：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20工作日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3.规定法定审批时限依据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《国家外汇管理局行政许可实施办法》（国家外汇管理局公告2021年第1号）第十五条外汇局应根据以下要求确保行政许可依法按时完成：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（二）不能当场作出决定的，应自受理之日起20个工作日内作出决定；20个工作日内不能作出决定的，经本级外汇局局长或者主管副局长批准，可延长10个工作日，并向申请人出具延长行政许可办理期限通知书，说明延长期限的理由。行政许可办理期限只能延长一次。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>
      <w:pPr>
        <w:spacing w:line="600" w:lineRule="exact"/>
        <w:ind w:firstLine="560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各级外汇局对行政许可办理时限具有对外承诺的，应按照其承诺的时限完成；对外承诺的时限应短于20个工作日。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4.承诺审批时限：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20工作日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8" w:name="_Toc973191296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收费</w:t>
      </w:r>
      <w:bookmarkEnd w:id="8"/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1.办理行政许可是否收费：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540" w:lineRule="exact"/>
        <w:ind w:firstLine="562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2.收费项目的名称、收费项目的标准、设定收费项目的依据、规定收费标准的依据: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9" w:name="_Toc15138560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行政许可证件</w:t>
      </w:r>
      <w:bookmarkEnd w:id="9"/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1.审批结果类型：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批文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2.行政许可证件名称：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贸易外汇业务登记表</w:t>
      </w:r>
    </w:p>
    <w:p>
      <w:pPr>
        <w:spacing w:line="540" w:lineRule="exact"/>
        <w:ind w:firstLine="562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3.行政许可证件的有效期限：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原则上不超过1个月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4.规定行政许可证件有效期限的依据：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《国家外汇管理局关于进一步优化贸易外汇业务管理的通知》（汇发﹝2024﹞11号）附件2《贸易外汇业务登记表》备注：《登记表》的有效期原则上不超过1个月。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5.是否需要办理审批结果变更手续：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540" w:lineRule="exact"/>
        <w:ind w:firstLine="562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6.办理审批结果变更手续的要求: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7.是否需要办理审批结果延续手续：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否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32"/>
          <w:szCs w:val="32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8.办理审批结果延续手续的要求: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9.审批结果的有效地域范围: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全国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10.规定审批结果有效地域范围的依据: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10" w:name="_Toc718725018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行政许可数量限制</w:t>
      </w:r>
      <w:bookmarkEnd w:id="10"/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1.有无行政许可数量限制：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2.公布数量限制的方式：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3.公布数量限制的周期：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4.在数量限制条件下实施行政许可的方式：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jc w:val="left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5.规定在数量限制条件下实施行政许可方式的依据: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11" w:name="_Toc1266337716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行政许可后年检</w:t>
      </w:r>
      <w:bookmarkEnd w:id="11"/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1.有无年检要求：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2.设定年检要求的依据: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3.年检周期：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4.年检是否要求报送材料：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5.年检报送材料名称：: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6.年检是否收费：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7.年检收费项目的名称、年检收费项目的标准、设定年检收费项目的依据、规定年检项目收费标准的依据: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8.通过年检的证明或者标志：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12" w:name="_Toc175548163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行政许可后年报</w:t>
      </w:r>
      <w:bookmarkEnd w:id="12"/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有无年报要求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年报报送材料名称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540" w:lineRule="exact"/>
        <w:ind w:firstLine="562" w:firstLineChars="200"/>
        <w:outlineLvl w:val="2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设定年报要求的依据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: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Times New Roman" w:hAnsi="Times New Roman" w:eastAsia="仿宋GB2312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</w:t>
      </w:r>
      <w:r>
        <w:rPr>
          <w:rFonts w:ascii="Times New Roman" w:hAnsi="Times New Roman" w:eastAsia="仿宋GB2312"/>
          <w:b/>
          <w:bCs/>
          <w:color w:val="000000"/>
          <w:sz w:val="28"/>
          <w:szCs w:val="28"/>
        </w:rPr>
        <w:t>年报周期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numPr>
          <w:ilvl w:val="0"/>
          <w:numId w:val="1"/>
        </w:num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13" w:name="_Toc644441883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监管主体</w:t>
      </w:r>
      <w:bookmarkEnd w:id="13"/>
    </w:p>
    <w:p>
      <w:pPr>
        <w:spacing w:line="540" w:lineRule="exact"/>
        <w:ind w:firstLine="420"/>
        <w:outlineLvl w:val="1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国家外汇管理局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安徽省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分局</w:t>
      </w:r>
    </w:p>
    <w:p>
      <w:pPr>
        <w:spacing w:line="540" w:lineRule="exact"/>
        <w:outlineLvl w:val="1"/>
        <w:rPr>
          <w:rFonts w:ascii="Times New Roman" w:hAnsi="Times New Roman" w:eastAsia="黑体"/>
          <w:color w:val="000000"/>
          <w:sz w:val="28"/>
          <w:szCs w:val="28"/>
        </w:rPr>
      </w:pPr>
      <w:bookmarkStart w:id="14" w:name="_Toc1293375433_WPSOffice_Level1"/>
      <w:r>
        <w:rPr>
          <w:rFonts w:hint="eastAsia" w:ascii="Times New Roman" w:hAnsi="Times New Roman" w:eastAsia="黑体"/>
          <w:color w:val="000000"/>
          <w:sz w:val="28"/>
          <w:szCs w:val="28"/>
        </w:rPr>
        <w:t>十五、业务办理信息</w:t>
      </w:r>
      <w:bookmarkEnd w:id="14"/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1.是否通办：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方正仿宋_GBK" w:hAnsi="方正仿宋_GBK" w:eastAsia="仿宋GB2312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2.通办业务模式：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方正仿宋_GBK" w:hAnsi="方正仿宋_GBK" w:eastAsia="仿宋GB2312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3.跨省通办事项名称：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方正仿宋_GBK" w:hAnsi="方正仿宋_GBK" w:eastAsia="仿宋GB2312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4.是否是35号文中的跨省通办事项：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无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5.是否网办：</w:t>
      </w:r>
      <w:r>
        <w:rPr>
          <w:rFonts w:ascii="方正仿宋_GBK" w:hAnsi="方正仿宋_GBK" w:eastAsia="方正仿宋_GBK" w:cs="方正仿宋_GBK"/>
          <w:color w:val="000000"/>
          <w:sz w:val="28"/>
          <w:szCs w:val="28"/>
        </w:rPr>
        <w:t>否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6.到办事现场次数：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1</w:t>
      </w:r>
    </w:p>
    <w:p>
      <w:pPr>
        <w:spacing w:line="600" w:lineRule="exact"/>
        <w:ind w:firstLine="562" w:firstLineChars="200"/>
        <w:rPr>
          <w:rFonts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.必须现场办理原因说明：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尚不适合互联网办理</w:t>
      </w:r>
    </w:p>
    <w:p>
      <w:pPr>
        <w:spacing w:line="600" w:lineRule="exact"/>
        <w:ind w:firstLine="562" w:firstLineChars="200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仿宋GB2312"/>
          <w:b/>
          <w:bCs/>
          <w:color w:val="000000"/>
          <w:sz w:val="28"/>
          <w:szCs w:val="28"/>
        </w:rPr>
        <w:t>.咨询途径、监督和投诉、办公地址和时间、公开查询方式等：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向安徽省分局辖内地市分局进行咨询、进程查询、监督和投诉等可通过所在地外汇局官方互联网站的相应栏目进行，网址可通过www.safe.gov.cn进行链接，也可通过所在地外汇局官方互联网站上公布的电话进行。</w:t>
      </w:r>
    </w:p>
    <w:p>
      <w:pPr>
        <w:spacing w:line="600" w:lineRule="exact"/>
        <w:ind w:firstLine="562" w:firstLineChars="200"/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该项行政许可具体由国家外汇管理局安徽省分局所辖地市分局办理，辖内地市分局办公地址和办公时间见http://www.safe.gov.cn/anhui/lxwm/index.html中《国家外汇管理局安徽省分局及辖内分局业务联系方式、办公时间、办公地址一览表》</w:t>
      </w:r>
    </w:p>
    <w:p>
      <w:pPr>
        <w:rPr>
          <w:color w:val="000000"/>
        </w:rPr>
      </w:pPr>
      <w:r>
        <w:rPr>
          <w:color w:val="000000"/>
        </w:rPr>
        <w:br w:type="page"/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等线">
    <w:altName w:val="仿宋"/>
    <w:panose1 w:val="00000000000000000000"/>
    <w:charset w:val="00"/>
    <w:family w:val="auto"/>
    <w:pitch w:val="default"/>
    <w:sig w:usb0="00000000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仿宋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CE">
    <w:altName w:val="Times New Roman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Times New Roman Cyr">
    <w:altName w:val="Times New Roman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Times New Roman Greek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Times New Roman Tur">
    <w:altName w:val="Times New Roman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Times New Roman (Hebrew)">
    <w:altName w:val="Times New Roman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Times New Roman (Arabic)">
    <w:altName w:val="Times New Roman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Times New Roman Baltic">
    <w:altName w:val="Times New Roman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Times New Roman (Vietnamese)">
    <w:altName w:val="Times New Roman"/>
    <w:panose1 w:val="00000000000000000000"/>
    <w:charset w:val="A3"/>
    <w:family w:val="auto"/>
    <w:pitch w:val="default"/>
    <w:sig w:usb0="00000000" w:usb1="00000000" w:usb2="00000000" w:usb3="00000000" w:csb0="00000100" w:csb1="00000000"/>
  </w:font>
  <w:font w:name="Cambria Math CE">
    <w:altName w:val="Cambria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Cambria Math Cyr">
    <w:altName w:val="Cambria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mbria Math Greek">
    <w:altName w:val="Cambria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Cambria Math Tur">
    <w:altName w:val="Cambria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Cambria Math Baltic">
    <w:altName w:val="Cambria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Cambria Math (Vietnamese)">
    <w:altName w:val="Cambria"/>
    <w:panose1 w:val="00000000000000000000"/>
    <w:charset w:val="A3"/>
    <w:family w:val="auto"/>
    <w:pitch w:val="default"/>
    <w:sig w:usb0="00000000" w:usb1="00000000" w:usb2="00000000" w:usb3="00000000" w:csb0="00000100" w:csb1="00000000"/>
  </w:font>
  <w:font w:name="SimSun Western">
    <w:altName w:val="宋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CE">
    <w:altName w:val="Cambria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Cambria Cyr">
    <w:altName w:val="Cambria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mbria Greek">
    <w:altName w:val="Cambria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Cambria Tur">
    <w:altName w:val="Cambria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Cambria Baltic">
    <w:altName w:val="Cambria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Cambria (Vietnamese)">
    <w:altName w:val="Cambria"/>
    <w:panose1 w:val="00000000000000000000"/>
    <w:charset w:val="A3"/>
    <w:family w:val="auto"/>
    <w:pitch w:val="default"/>
    <w:sig w:usb0="00000000" w:usb1="00000000" w:usb2="00000000" w:usb3="00000000" w:csb0="00000100" w:csb1="00000000"/>
  </w:font>
  <w:font w:name="Calibri CE">
    <w:altName w:val="Calibri"/>
    <w:panose1 w:val="00000000000000000000"/>
    <w:charset w:val="EE"/>
    <w:family w:val="auto"/>
    <w:pitch w:val="default"/>
    <w:sig w:usb0="00000000" w:usb1="00000000" w:usb2="00000000" w:usb3="00000000" w:csb0="00000002" w:csb1="00000000"/>
  </w:font>
  <w:font w:name="Calibri Cyr">
    <w:altName w:val="Calibri"/>
    <w:panose1 w:val="00000000000000000000"/>
    <w:charset w:val="CC"/>
    <w:family w:val="auto"/>
    <w:pitch w:val="default"/>
    <w:sig w:usb0="00000000" w:usb1="00000000" w:usb2="00000000" w:usb3="00000000" w:csb0="00000004" w:csb1="00000000"/>
  </w:font>
  <w:font w:name="Calibri Greek">
    <w:altName w:val="Calibri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Calibri Tur">
    <w:altName w:val="Calibri"/>
    <w:panose1 w:val="00000000000000000000"/>
    <w:charset w:val="A2"/>
    <w:family w:val="auto"/>
    <w:pitch w:val="default"/>
    <w:sig w:usb0="00000000" w:usb1="00000000" w:usb2="00000000" w:usb3="00000000" w:csb0="00000010" w:csb1="00000000"/>
  </w:font>
  <w:font w:name="Calibri Baltic">
    <w:altName w:val="Calibri"/>
    <w:panose1 w:val="00000000000000000000"/>
    <w:charset w:val="BA"/>
    <w:family w:val="auto"/>
    <w:pitch w:val="default"/>
    <w:sig w:usb0="00000000" w:usb1="00000000" w:usb2="00000000" w:usb3="00000000" w:csb0="00000080" w:csb1="00000000"/>
  </w:font>
  <w:font w:name="Calibri (Vietnamese)">
    <w:altName w:val="Calibri"/>
    <w:panose1 w:val="00000000000000000000"/>
    <w:charset w:val="A3"/>
    <w:family w:val="auto"/>
    <w:pitch w:val="default"/>
    <w:sig w:usb0="00000000" w:usb1="00000000" w:usb2="00000000" w:usb3="00000000" w:csb0="00000100" w:csb1="00000000"/>
  </w:font>
  <w:font w:name="SimHei Western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·ÂËÎ Wester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025682833">
    <w:nsid w:val="EFF30B91"/>
    <w:multiLevelType w:val="singleLevel"/>
    <w:tmpl w:val="EFF30B91"/>
    <w:lvl w:ilvl="0" w:tentative="1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707243946">
    <w:nsid w:val="65C279AA"/>
    <w:multiLevelType w:val="singleLevel"/>
    <w:tmpl w:val="65C279AA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025682833"/>
  </w:num>
  <w:num w:numId="2">
    <w:abstractNumId w:val="17072439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toc 3"/>
    <w:basedOn w:val="1"/>
    <w:next w:val="1"/>
    <w:semiHidden/>
    <w:unhideWhenUsed/>
    <w:uiPriority w:val="39"/>
    <w:pPr>
      <w:ind w:left="840" w:leftChars="400"/>
    </w:pPr>
    <w:rPr>
      <w:rFonts w:hint="eastAsia"/>
    </w:rPr>
  </w:style>
  <w:style w:type="paragraph" w:styleId="3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 Char"/>
    <w:basedOn w:val="5"/>
    <w:link w:val="4"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 Char"/>
    <w:basedOn w:val="5"/>
    <w:link w:val="3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555</Words>
  <Characters>3166</Characters>
  <Lines>26</Lines>
  <Paragraphs>7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2023-10-07T06:18:00Z</dcterms:created>
  <dc:creator>kylin</dc:creator>
  <cp:lastModifiedBy>李玮玮</cp:lastModifiedBy>
  <dcterms:modified xsi:type="dcterms:W3CDTF">2024-07-17T06:09:51Z</dcterms:modified>
  <dc:title>支付机构经常项目收支登记新办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