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FC6" w:rsidRDefault="00E145A7">
      <w:pPr>
        <w:jc w:val="center"/>
        <w:rPr>
          <w:rFonts w:ascii="方正小标宋_GBK" w:eastAsia="方正小标宋_GBK" w:hAnsi="方正小标宋_GBK" w:cs="方正小标宋_GBK" w:hint="eastAsia"/>
          <w:sz w:val="40"/>
          <w:szCs w:val="40"/>
        </w:rPr>
      </w:pPr>
      <w:r w:rsidRPr="00E145A7">
        <w:rPr>
          <w:rFonts w:ascii="方正小标宋_GBK" w:eastAsia="方正小标宋_GBK" w:hAnsi="方正小标宋_GBK" w:cs="方正小标宋_GBK" w:hint="eastAsia"/>
          <w:sz w:val="40"/>
          <w:szCs w:val="40"/>
        </w:rPr>
        <w:t>省级分局和计划单列市分局办理的个人提取规定金额以上外币现钞核准</w:t>
      </w:r>
    </w:p>
    <w:p w:rsidR="00E145A7" w:rsidRPr="00E145A7" w:rsidRDefault="00E145A7" w:rsidP="00E145A7">
      <w:pPr>
        <w:pStyle w:val="3"/>
      </w:pPr>
    </w:p>
    <w:p w:rsidR="00A93FC6" w:rsidRDefault="00FE19BF">
      <w:pPr>
        <w:numPr>
          <w:ilvl w:val="0"/>
          <w:numId w:val="1"/>
        </w:numPr>
        <w:spacing w:line="540" w:lineRule="exact"/>
        <w:outlineLvl w:val="1"/>
        <w:rPr>
          <w:rFonts w:ascii="Times New Roman" w:eastAsia="黑体" w:hAnsi="Times New Roman"/>
          <w:sz w:val="28"/>
          <w:szCs w:val="28"/>
        </w:rPr>
      </w:pPr>
      <w:bookmarkStart w:id="0" w:name="_Toc205928503_WPSOffice_Level1"/>
      <w:r>
        <w:rPr>
          <w:rFonts w:ascii="Times New Roman" w:eastAsia="黑体" w:hAnsi="Times New Roman" w:hint="eastAsia"/>
          <w:sz w:val="28"/>
          <w:szCs w:val="28"/>
        </w:rPr>
        <w:t>基本要素</w:t>
      </w:r>
      <w:bookmarkEnd w:id="0"/>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行政许可事项名称及编码</w:t>
      </w:r>
    </w:p>
    <w:p w:rsidR="00E145A7" w:rsidRPr="00E145A7" w:rsidRDefault="00E145A7" w:rsidP="00E145A7">
      <w:pPr>
        <w:spacing w:line="540" w:lineRule="exact"/>
        <w:ind w:firstLineChars="200" w:firstLine="560"/>
        <w:outlineLvl w:val="2"/>
        <w:rPr>
          <w:rFonts w:ascii="方正仿宋_GBK" w:eastAsia="方正仿宋_GBK" w:hAnsi="方正仿宋_GBK" w:cs="方正仿宋_GBK"/>
          <w:sz w:val="28"/>
          <w:szCs w:val="28"/>
        </w:rPr>
      </w:pPr>
      <w:r w:rsidRPr="00E145A7">
        <w:rPr>
          <w:rFonts w:ascii="方正仿宋_GBK" w:eastAsia="方正仿宋_GBK" w:hAnsi="方正仿宋_GBK" w:cs="方正仿宋_GBK"/>
          <w:sz w:val="28"/>
          <w:szCs w:val="28"/>
        </w:rPr>
        <w:t>外币现钞提取、出境携带、跨境调运核准【00017110600Y】</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行政许可事项子项名称及编码</w:t>
      </w:r>
    </w:p>
    <w:p w:rsidR="00E145A7" w:rsidRPr="00E145A7" w:rsidRDefault="00E145A7" w:rsidP="00E145A7">
      <w:pPr>
        <w:spacing w:line="360" w:lineRule="auto"/>
        <w:ind w:firstLineChars="200" w:firstLine="560"/>
        <w:rPr>
          <w:rFonts w:ascii="方正仿宋_GBK" w:eastAsia="方正仿宋_GBK" w:hAnsi="方正仿宋_GBK" w:cs="方正仿宋_GBK"/>
          <w:sz w:val="28"/>
          <w:szCs w:val="28"/>
        </w:rPr>
      </w:pPr>
      <w:r w:rsidRPr="00E145A7">
        <w:rPr>
          <w:rFonts w:ascii="方正仿宋_GBK" w:eastAsia="方正仿宋_GBK" w:hAnsi="方正仿宋_GBK" w:cs="方正仿宋_GBK" w:hint="eastAsia"/>
          <w:sz w:val="28"/>
          <w:szCs w:val="28"/>
        </w:rPr>
        <w:t>省级分局和计划单列市分局办理的个人提取规定金额以上外币现钞核准</w:t>
      </w:r>
      <w:r w:rsidRPr="00E145A7">
        <w:rPr>
          <w:rFonts w:ascii="方正仿宋_GBK" w:eastAsia="方正仿宋_GBK" w:hAnsi="方正仿宋_GBK" w:cs="方正仿宋_GBK"/>
          <w:sz w:val="28"/>
          <w:szCs w:val="28"/>
        </w:rPr>
        <w:t>【000171106001】</w:t>
      </w:r>
    </w:p>
    <w:p w:rsidR="00A93FC6" w:rsidRDefault="00FE19BF" w:rsidP="00102015">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行政许可事项业务办理项名称及编码</w:t>
      </w:r>
    </w:p>
    <w:p w:rsidR="00E145A7" w:rsidRDefault="00E145A7" w:rsidP="00E145A7">
      <w:pPr>
        <w:spacing w:line="360" w:lineRule="auto"/>
        <w:ind w:firstLineChars="200" w:firstLine="560"/>
        <w:rPr>
          <w:rFonts w:ascii="方正仿宋_GBK" w:eastAsia="方正仿宋_GBK" w:hAnsi="方正仿宋_GBK" w:cs="方正仿宋_GBK" w:hint="eastAsia"/>
          <w:sz w:val="28"/>
          <w:szCs w:val="28"/>
        </w:rPr>
      </w:pPr>
      <w:r w:rsidRPr="00E145A7">
        <w:rPr>
          <w:rFonts w:ascii="方正仿宋_GBK" w:eastAsia="方正仿宋_GBK" w:hAnsi="方正仿宋_GBK" w:cs="方正仿宋_GBK" w:hint="eastAsia"/>
          <w:sz w:val="28"/>
          <w:szCs w:val="28"/>
        </w:rPr>
        <w:t>省级分局和计划单列市分局办理的个人提取规定金额以上外币现钞核准</w:t>
      </w:r>
      <w:r w:rsidRPr="00E145A7">
        <w:rPr>
          <w:rFonts w:ascii="方正仿宋_GBK" w:eastAsia="方正仿宋_GBK" w:hAnsi="方正仿宋_GBK" w:cs="方正仿宋_GBK"/>
          <w:sz w:val="28"/>
          <w:szCs w:val="28"/>
        </w:rPr>
        <w:t>（00017110600101）</w:t>
      </w:r>
    </w:p>
    <w:p w:rsidR="00A93FC6" w:rsidRDefault="00FE19BF" w:rsidP="00E145A7">
      <w:pPr>
        <w:spacing w:line="360" w:lineRule="auto"/>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设定依据</w:t>
      </w:r>
    </w:p>
    <w:p w:rsidR="00A93FC6" w:rsidRDefault="00FE19BF" w:rsidP="00102015">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《国务院对确需保留的行政审批项目设定行政许可的决定》</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实施依据</w:t>
      </w:r>
    </w:p>
    <w:p w:rsidR="00E145A7" w:rsidRPr="00E145A7" w:rsidRDefault="00E145A7" w:rsidP="00E145A7">
      <w:pPr>
        <w:spacing w:line="540" w:lineRule="exact"/>
        <w:ind w:firstLineChars="200" w:firstLine="560"/>
        <w:outlineLvl w:val="2"/>
        <w:rPr>
          <w:rFonts w:ascii="方正仿宋_GBK" w:eastAsia="方正仿宋_GBK" w:hAnsi="方正仿宋_GBK" w:cs="方正仿宋_GBK"/>
          <w:sz w:val="28"/>
          <w:szCs w:val="28"/>
        </w:rPr>
      </w:pPr>
      <w:r w:rsidRPr="00E145A7">
        <w:rPr>
          <w:rFonts w:ascii="方正仿宋_GBK" w:eastAsia="方正仿宋_GBK" w:hAnsi="方正仿宋_GBK" w:cs="方正仿宋_GBK"/>
          <w:sz w:val="28"/>
          <w:szCs w:val="28"/>
        </w:rPr>
        <w:t>（1）《个人外汇管理办法》（中国人民银行令2006年第3号）第三十四条</w:t>
      </w:r>
    </w:p>
    <w:p w:rsidR="00E145A7" w:rsidRPr="00E145A7" w:rsidRDefault="00E145A7" w:rsidP="00E145A7">
      <w:pPr>
        <w:spacing w:line="540" w:lineRule="exact"/>
        <w:ind w:firstLineChars="200" w:firstLine="560"/>
        <w:outlineLvl w:val="2"/>
        <w:rPr>
          <w:rFonts w:ascii="方正仿宋_GBK" w:eastAsia="方正仿宋_GBK" w:hAnsi="方正仿宋_GBK" w:cs="方正仿宋_GBK"/>
          <w:sz w:val="28"/>
          <w:szCs w:val="28"/>
        </w:rPr>
      </w:pPr>
      <w:r w:rsidRPr="00E145A7">
        <w:rPr>
          <w:rFonts w:ascii="方正仿宋_GBK" w:eastAsia="方正仿宋_GBK" w:hAnsi="方正仿宋_GBK" w:cs="方正仿宋_GBK"/>
          <w:sz w:val="28"/>
          <w:szCs w:val="28"/>
        </w:rPr>
        <w:t>（2）《个人外汇管理办法实施细则》（汇发〔2007〕1号文印发）第三十条</w:t>
      </w:r>
    </w:p>
    <w:p w:rsidR="00E145A7" w:rsidRPr="00E145A7" w:rsidRDefault="00E145A7" w:rsidP="00E145A7">
      <w:pPr>
        <w:spacing w:line="540" w:lineRule="exact"/>
        <w:ind w:firstLineChars="200" w:firstLine="560"/>
        <w:outlineLvl w:val="2"/>
        <w:rPr>
          <w:rFonts w:ascii="方正仿宋_GBK" w:eastAsia="方正仿宋_GBK" w:hAnsi="方正仿宋_GBK" w:cs="方正仿宋_GBK"/>
          <w:sz w:val="28"/>
          <w:szCs w:val="28"/>
        </w:rPr>
      </w:pPr>
      <w:r w:rsidRPr="00E145A7">
        <w:rPr>
          <w:rFonts w:ascii="方正仿宋_GBK" w:eastAsia="方正仿宋_GBK" w:hAnsi="方正仿宋_GBK" w:cs="方正仿宋_GBK"/>
          <w:sz w:val="28"/>
          <w:szCs w:val="28"/>
        </w:rPr>
        <w:t>（3）《经常项目外汇业务指引（2020年版）》（汇发〔2020〕14号文印发）第八十六条</w:t>
      </w:r>
    </w:p>
    <w:p w:rsidR="00A93FC6" w:rsidRDefault="00E145A7" w:rsidP="00E145A7">
      <w:pPr>
        <w:spacing w:line="540" w:lineRule="exact"/>
        <w:ind w:firstLineChars="200" w:firstLine="560"/>
        <w:outlineLvl w:val="2"/>
        <w:rPr>
          <w:rFonts w:ascii="方正仿宋_GBK" w:eastAsia="方正仿宋_GBK" w:hAnsi="方正仿宋_GBK" w:cs="方正仿宋_GBK"/>
          <w:sz w:val="28"/>
          <w:szCs w:val="28"/>
        </w:rPr>
      </w:pPr>
      <w:r w:rsidRPr="00E145A7">
        <w:rPr>
          <w:rFonts w:ascii="方正仿宋_GBK" w:eastAsia="方正仿宋_GBK" w:hAnsi="方正仿宋_GBK" w:cs="方正仿宋_GBK"/>
          <w:sz w:val="28"/>
          <w:szCs w:val="28"/>
        </w:rPr>
        <w:t>（4）《国家外汇管理局行政许可实施办法》（国家外汇管理局公告2021年第1号）全文</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监管依据</w:t>
      </w:r>
    </w:p>
    <w:p w:rsidR="00A93FC6" w:rsidRDefault="00FE19B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《中华人民共和国外汇管理条例》</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lastRenderedPageBreak/>
        <w:t>7.</w:t>
      </w:r>
      <w:r>
        <w:rPr>
          <w:rFonts w:ascii="Times New Roman" w:eastAsia="仿宋GB2312" w:hAnsi="Times New Roman" w:hint="eastAsia"/>
          <w:b/>
          <w:bCs/>
          <w:sz w:val="28"/>
          <w:szCs w:val="28"/>
        </w:rPr>
        <w:t>权力来源：</w:t>
      </w:r>
      <w:r>
        <w:rPr>
          <w:rFonts w:ascii="方正仿宋_GBK" w:eastAsia="方正仿宋_GBK" w:hAnsi="方正仿宋_GBK" w:cs="方正仿宋_GBK" w:hint="eastAsia"/>
          <w:sz w:val="28"/>
          <w:szCs w:val="28"/>
        </w:rPr>
        <w:t>法定</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实施机关：</w:t>
      </w:r>
      <w:r w:rsidR="00E145A7" w:rsidRPr="00E145A7">
        <w:rPr>
          <w:rFonts w:ascii="方正仿宋_GBK" w:eastAsia="方正仿宋_GBK" w:hAnsi="方正仿宋_GBK" w:cs="方正仿宋_GBK" w:hint="eastAsia"/>
          <w:sz w:val="28"/>
          <w:szCs w:val="28"/>
        </w:rPr>
        <w:t>国家外汇管理局省分局</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实施主体</w:t>
      </w:r>
      <w:r>
        <w:rPr>
          <w:rFonts w:ascii="Times New Roman" w:eastAsia="仿宋GB2312" w:hAnsi="Times New Roman" w:hint="eastAsia"/>
          <w:b/>
          <w:bCs/>
          <w:sz w:val="28"/>
          <w:szCs w:val="28"/>
        </w:rPr>
        <w:t>：</w:t>
      </w:r>
      <w:r w:rsidR="00E145A7" w:rsidRPr="00E145A7">
        <w:rPr>
          <w:rFonts w:ascii="方正仿宋_GBK" w:eastAsia="方正仿宋_GBK" w:hAnsi="方正仿宋_GBK" w:cs="方正仿宋_GBK" w:hint="eastAsia"/>
          <w:sz w:val="28"/>
          <w:szCs w:val="28"/>
        </w:rPr>
        <w:t>国家外汇管理局省分局</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实施主体性质：</w:t>
      </w:r>
      <w:r>
        <w:rPr>
          <w:rFonts w:ascii="方正仿宋_GBK" w:eastAsia="方正仿宋_GBK" w:hAnsi="方正仿宋_GBK" w:cs="方正仿宋_GBK" w:hint="eastAsia"/>
          <w:sz w:val="28"/>
          <w:szCs w:val="28"/>
        </w:rPr>
        <w:t>法定机关</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11.</w:t>
      </w:r>
      <w:r>
        <w:rPr>
          <w:rFonts w:ascii="Times New Roman" w:eastAsia="仿宋GB2312" w:hAnsi="Times New Roman"/>
          <w:b/>
          <w:bCs/>
          <w:sz w:val="28"/>
          <w:szCs w:val="28"/>
        </w:rPr>
        <w:t>审批层级</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国家级</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12.</w:t>
      </w:r>
      <w:r>
        <w:rPr>
          <w:rFonts w:ascii="Times New Roman" w:eastAsia="仿宋GB2312" w:hAnsi="Times New Roman"/>
          <w:b/>
          <w:bCs/>
          <w:sz w:val="28"/>
          <w:szCs w:val="28"/>
        </w:rPr>
        <w:t>行使层级</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省</w:t>
      </w:r>
      <w:r>
        <w:rPr>
          <w:rFonts w:ascii="方正仿宋_GBK" w:eastAsia="方正仿宋_GBK" w:hAnsi="方正仿宋_GBK" w:cs="方正仿宋_GBK"/>
          <w:sz w:val="28"/>
          <w:szCs w:val="28"/>
        </w:rPr>
        <w:t>级</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13.</w:t>
      </w:r>
      <w:r>
        <w:rPr>
          <w:rFonts w:ascii="Times New Roman" w:eastAsia="仿宋GB2312" w:hAnsi="Times New Roman"/>
          <w:b/>
          <w:bCs/>
          <w:sz w:val="28"/>
          <w:szCs w:val="28"/>
        </w:rPr>
        <w:t>是否由审批机关受理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是</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14.</w:t>
      </w:r>
      <w:r>
        <w:rPr>
          <w:rFonts w:ascii="Times New Roman" w:eastAsia="仿宋GB2312" w:hAnsi="Times New Roman"/>
          <w:b/>
          <w:bCs/>
          <w:sz w:val="28"/>
          <w:szCs w:val="28"/>
        </w:rPr>
        <w:t>受理层级</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省</w:t>
      </w:r>
      <w:r>
        <w:rPr>
          <w:rFonts w:ascii="方正仿宋_GBK" w:eastAsia="方正仿宋_GBK" w:hAnsi="方正仿宋_GBK" w:cs="方正仿宋_GBK"/>
          <w:sz w:val="28"/>
          <w:szCs w:val="28"/>
        </w:rPr>
        <w:t>级</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是否存在初审环节：</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16.</w:t>
      </w:r>
      <w:r>
        <w:rPr>
          <w:rFonts w:ascii="Times New Roman" w:eastAsia="仿宋GB2312" w:hAnsi="Times New Roman" w:hint="eastAsia"/>
          <w:b/>
          <w:bCs/>
          <w:sz w:val="28"/>
          <w:szCs w:val="28"/>
        </w:rPr>
        <w:t>初审层级：</w:t>
      </w:r>
      <w:r>
        <w:rPr>
          <w:rFonts w:ascii="方正仿宋_GBK" w:eastAsia="方正仿宋_GBK" w:hAnsi="方正仿宋_GBK" w:cs="方正仿宋_GBK"/>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 w:name="_Toc70821178_WPSOffice_Level1"/>
      <w:r>
        <w:rPr>
          <w:rFonts w:ascii="Times New Roman" w:eastAsia="黑体" w:hAnsi="Times New Roman" w:hint="eastAsia"/>
          <w:sz w:val="28"/>
          <w:szCs w:val="28"/>
        </w:rPr>
        <w:t>行政许可事项类型</w:t>
      </w:r>
      <w:bookmarkEnd w:id="1"/>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条件型</w:t>
      </w:r>
    </w:p>
    <w:p w:rsidR="00A93FC6" w:rsidRDefault="00FE19BF">
      <w:pPr>
        <w:numPr>
          <w:ilvl w:val="0"/>
          <w:numId w:val="1"/>
        </w:numPr>
        <w:spacing w:line="540" w:lineRule="exact"/>
        <w:outlineLvl w:val="1"/>
        <w:rPr>
          <w:rFonts w:ascii="Times New Roman" w:eastAsia="黑体" w:hAnsi="Times New Roman"/>
          <w:sz w:val="28"/>
          <w:szCs w:val="28"/>
        </w:rPr>
      </w:pPr>
      <w:bookmarkStart w:id="2" w:name="_Toc590100523_WPSOffice_Level1"/>
      <w:r>
        <w:rPr>
          <w:rFonts w:ascii="Times New Roman" w:eastAsia="黑体" w:hAnsi="Times New Roman" w:hint="eastAsia"/>
          <w:sz w:val="28"/>
          <w:szCs w:val="28"/>
        </w:rPr>
        <w:t>行政许可条件</w:t>
      </w:r>
      <w:bookmarkEnd w:id="2"/>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准予行政许可的条件</w:t>
      </w:r>
    </w:p>
    <w:p w:rsidR="00E145A7" w:rsidRDefault="00E145A7" w:rsidP="00E145A7">
      <w:pPr>
        <w:spacing w:line="540" w:lineRule="exact"/>
        <w:ind w:firstLineChars="200" w:firstLine="560"/>
        <w:outlineLvl w:val="2"/>
        <w:rPr>
          <w:rFonts w:ascii="方正仿宋_GBK" w:eastAsia="方正仿宋_GBK" w:hAnsi="方正仿宋_GBK" w:cs="方正仿宋_GBK" w:hint="eastAsia"/>
          <w:bCs/>
          <w:sz w:val="28"/>
          <w:szCs w:val="28"/>
        </w:rPr>
      </w:pPr>
      <w:r w:rsidRPr="00E145A7">
        <w:rPr>
          <w:rFonts w:ascii="方正仿宋_GBK" w:eastAsia="方正仿宋_GBK" w:hAnsi="方正仿宋_GBK" w:cs="方正仿宋_GBK" w:hint="eastAsia"/>
          <w:bCs/>
          <w:sz w:val="28"/>
          <w:szCs w:val="28"/>
        </w:rPr>
        <w:t>申请人为确有需要提取超过等值1万美元以上外币现钞的出境赴战乱、外汇管制严格、金融条件差或金融动乱的国家（或地区）的个人。</w:t>
      </w:r>
    </w:p>
    <w:p w:rsidR="00A93FC6" w:rsidRDefault="00FE19BF" w:rsidP="00102015">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规定行政许可条件的依据</w:t>
      </w:r>
    </w:p>
    <w:p w:rsidR="00A93FC6" w:rsidRDefault="00FE19BF" w:rsidP="00E145A7">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《经常项目外汇业务指引（2020年版）》（汇发〔2020〕14号文印发）第</w:t>
      </w:r>
      <w:r w:rsidR="00E145A7">
        <w:rPr>
          <w:rFonts w:ascii="方正仿宋_GBK" w:eastAsia="方正仿宋_GBK" w:hAnsi="方正仿宋_GBK" w:cs="方正仿宋_GBK" w:hint="eastAsia"/>
          <w:sz w:val="28"/>
          <w:szCs w:val="28"/>
        </w:rPr>
        <w:t>八十</w:t>
      </w:r>
      <w:r w:rsidR="00B73B74">
        <w:rPr>
          <w:rFonts w:ascii="方正仿宋_GBK" w:eastAsia="方正仿宋_GBK" w:hAnsi="方正仿宋_GBK" w:cs="方正仿宋_GBK" w:hint="eastAsia"/>
          <w:sz w:val="28"/>
          <w:szCs w:val="28"/>
        </w:rPr>
        <w:t>六</w:t>
      </w:r>
      <w:r w:rsidR="00E145A7">
        <w:rPr>
          <w:rFonts w:ascii="方正仿宋_GBK" w:eastAsia="方正仿宋_GBK" w:hAnsi="方正仿宋_GBK" w:cs="方正仿宋_GBK" w:hint="eastAsia"/>
          <w:sz w:val="28"/>
          <w:szCs w:val="28"/>
        </w:rPr>
        <w:t>条</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受理条件</w:t>
      </w:r>
    </w:p>
    <w:p w:rsidR="00A93FC6" w:rsidRDefault="00FE19B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申请材料齐全、符合法定形式。</w:t>
      </w:r>
    </w:p>
    <w:p w:rsidR="00A93FC6" w:rsidRDefault="00FE19BF">
      <w:pPr>
        <w:numPr>
          <w:ilvl w:val="0"/>
          <w:numId w:val="1"/>
        </w:numPr>
        <w:spacing w:line="540" w:lineRule="exact"/>
        <w:outlineLvl w:val="1"/>
        <w:rPr>
          <w:rFonts w:ascii="Times New Roman" w:eastAsia="黑体" w:hAnsi="Times New Roman"/>
          <w:sz w:val="28"/>
          <w:szCs w:val="28"/>
        </w:rPr>
      </w:pPr>
      <w:bookmarkStart w:id="3" w:name="_Toc1509240106_WPSOffice_Level1"/>
      <w:r>
        <w:rPr>
          <w:rFonts w:ascii="Times New Roman" w:eastAsia="黑体" w:hAnsi="Times New Roman"/>
          <w:sz w:val="28"/>
          <w:szCs w:val="28"/>
        </w:rPr>
        <w:t>行政许可服务对象类型</w:t>
      </w:r>
      <w:r>
        <w:rPr>
          <w:rFonts w:ascii="Times New Roman" w:eastAsia="黑体" w:hAnsi="Times New Roman" w:hint="eastAsia"/>
          <w:sz w:val="28"/>
          <w:szCs w:val="28"/>
        </w:rPr>
        <w:t>与改革举措</w:t>
      </w:r>
      <w:bookmarkEnd w:id="3"/>
    </w:p>
    <w:p w:rsidR="00A93FC6" w:rsidRDefault="00FE19BF">
      <w:pPr>
        <w:numPr>
          <w:ilvl w:val="0"/>
          <w:numId w:val="2"/>
        </w:num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服务对象类型：</w:t>
      </w:r>
      <w:r>
        <w:rPr>
          <w:rFonts w:ascii="方正仿宋_GBK" w:eastAsia="方正仿宋_GBK" w:hAnsi="方正仿宋_GBK" w:cs="方正仿宋_GBK"/>
          <w:sz w:val="28"/>
          <w:szCs w:val="28"/>
        </w:rPr>
        <w:t>企业法人</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是否为涉企许可事项：</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3.</w:t>
      </w:r>
      <w:r>
        <w:rPr>
          <w:rFonts w:ascii="Times New Roman" w:eastAsia="仿宋GB2312" w:hAnsi="Times New Roman" w:hint="eastAsia"/>
          <w:b/>
          <w:bCs/>
          <w:sz w:val="28"/>
          <w:szCs w:val="28"/>
        </w:rPr>
        <w:t>涉企经营许可事项名称：</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许可证件名称：</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改革方式：</w:t>
      </w:r>
      <w:r>
        <w:rPr>
          <w:rFonts w:ascii="方正仿宋_GBK" w:eastAsia="方正仿宋_GBK" w:hAnsi="方正仿宋_GBK" w:cs="方正仿宋_GBK"/>
          <w:sz w:val="28"/>
          <w:szCs w:val="28"/>
        </w:rPr>
        <w:t>无</w:t>
      </w:r>
    </w:p>
    <w:p w:rsidR="00A93FC6" w:rsidRDefault="00FE19BF">
      <w:pPr>
        <w:spacing w:line="54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具体改革举措</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54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加强事中事后监管措施</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1.开展“双随机、一公开”监管，依法查处违规行为，适时公开相关案例。2.依法及时处理投诉举报。3.开展数据统计与监测，掌握外汇业务情况。</w:t>
      </w:r>
    </w:p>
    <w:p w:rsidR="00A93FC6" w:rsidRDefault="00FE19BF">
      <w:pPr>
        <w:numPr>
          <w:ilvl w:val="0"/>
          <w:numId w:val="1"/>
        </w:numPr>
        <w:spacing w:line="540" w:lineRule="exact"/>
        <w:outlineLvl w:val="1"/>
        <w:rPr>
          <w:rFonts w:ascii="Times New Roman" w:eastAsia="黑体" w:hAnsi="Times New Roman"/>
          <w:sz w:val="28"/>
          <w:szCs w:val="28"/>
        </w:rPr>
      </w:pPr>
      <w:bookmarkStart w:id="4" w:name="_Toc1561626744_WPSOffice_Level1"/>
      <w:r>
        <w:rPr>
          <w:rFonts w:ascii="Times New Roman" w:eastAsia="黑体" w:hAnsi="Times New Roman" w:hint="eastAsia"/>
          <w:sz w:val="28"/>
          <w:szCs w:val="28"/>
        </w:rPr>
        <w:t>申请材料</w:t>
      </w:r>
      <w:bookmarkEnd w:id="4"/>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申请材料名称</w:t>
      </w:r>
    </w:p>
    <w:p w:rsidR="00A93FC6" w:rsidRDefault="00E145A7" w:rsidP="00102015">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本人有效身份证件原件或加盖签章的复印件1份、</w:t>
      </w:r>
      <w:r w:rsidRPr="00E145A7">
        <w:rPr>
          <w:rFonts w:ascii="方正仿宋_GBK" w:eastAsia="方正仿宋_GBK" w:hAnsi="方正仿宋_GBK" w:cs="方正仿宋_GBK"/>
          <w:sz w:val="28"/>
          <w:szCs w:val="28"/>
        </w:rPr>
        <w:t>加盖签章的提钞用途材料</w:t>
      </w:r>
      <w:r>
        <w:rPr>
          <w:rFonts w:ascii="方正仿宋_GBK" w:eastAsia="方正仿宋_GBK" w:hAnsi="方正仿宋_GBK" w:cs="方正仿宋_GBK" w:hint="eastAsia"/>
          <w:sz w:val="28"/>
          <w:szCs w:val="28"/>
        </w:rPr>
        <w:t>复印件1份、</w:t>
      </w:r>
      <w:r w:rsidRPr="00E145A7">
        <w:rPr>
          <w:rFonts w:ascii="方正仿宋_GBK" w:eastAsia="方正仿宋_GBK" w:hAnsi="方正仿宋_GBK" w:cs="方正仿宋_GBK" w:hint="eastAsia"/>
          <w:sz w:val="28"/>
          <w:szCs w:val="28"/>
        </w:rPr>
        <w:t>申请书原件</w:t>
      </w:r>
      <w:r>
        <w:rPr>
          <w:rFonts w:ascii="方正仿宋_GBK" w:eastAsia="方正仿宋_GBK" w:hAnsi="方正仿宋_GBK" w:cs="方正仿宋_GBK" w:hint="eastAsia"/>
          <w:sz w:val="28"/>
          <w:szCs w:val="28"/>
        </w:rPr>
        <w:t>1份</w:t>
      </w:r>
      <w:r w:rsidR="00FE19BF">
        <w:rPr>
          <w:rFonts w:ascii="方正仿宋_GBK" w:eastAsia="方正仿宋_GBK" w:hAnsi="方正仿宋_GBK" w:cs="方正仿宋_GBK" w:hint="eastAsia"/>
          <w:sz w:val="28"/>
          <w:szCs w:val="28"/>
        </w:rPr>
        <w:t>。</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规定申请材料的依据</w:t>
      </w:r>
    </w:p>
    <w:p w:rsidR="00A93FC6" w:rsidRDefault="00FE19BF">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（1）《经常项目外汇业务指引（2020年版）》（汇发〔2020〕14号文印发）第</w:t>
      </w:r>
      <w:r w:rsidR="00B73B74">
        <w:rPr>
          <w:rFonts w:ascii="方正仿宋_GBK" w:eastAsia="方正仿宋_GBK" w:hAnsi="方正仿宋_GBK" w:cs="方正仿宋_GBK" w:hint="eastAsia"/>
          <w:sz w:val="28"/>
          <w:szCs w:val="28"/>
        </w:rPr>
        <w:t>八十六条</w:t>
      </w:r>
    </w:p>
    <w:p w:rsidR="00A93FC6" w:rsidRDefault="00FE19BF">
      <w:pPr>
        <w:numPr>
          <w:ilvl w:val="0"/>
          <w:numId w:val="1"/>
        </w:numPr>
        <w:spacing w:line="540" w:lineRule="exact"/>
        <w:outlineLvl w:val="1"/>
        <w:rPr>
          <w:rFonts w:ascii="Times New Roman" w:eastAsia="黑体" w:hAnsi="Times New Roman"/>
          <w:sz w:val="28"/>
          <w:szCs w:val="28"/>
        </w:rPr>
      </w:pPr>
      <w:bookmarkStart w:id="5" w:name="_Toc582359425_WPSOffice_Level1"/>
      <w:r>
        <w:rPr>
          <w:rFonts w:ascii="Times New Roman" w:eastAsia="黑体" w:hAnsi="Times New Roman" w:hint="eastAsia"/>
          <w:sz w:val="28"/>
          <w:szCs w:val="28"/>
        </w:rPr>
        <w:t>中介服务</w:t>
      </w:r>
      <w:bookmarkEnd w:id="5"/>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有无法定中介服务事项：</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中介服务事项名称</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设定中介服务事项的依据</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提供中介服务的机构</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中介服务事项的收费性质</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6" w:name="_Toc2038745556_WPSOffice_Level1"/>
      <w:r>
        <w:rPr>
          <w:rFonts w:ascii="Times New Roman" w:eastAsia="黑体" w:hAnsi="Times New Roman" w:hint="eastAsia"/>
          <w:sz w:val="28"/>
          <w:szCs w:val="28"/>
        </w:rPr>
        <w:t>审批程序</w:t>
      </w:r>
      <w:bookmarkEnd w:id="6"/>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办理行政许可的程序环节</w:t>
      </w:r>
    </w:p>
    <w:p w:rsidR="00B73B74" w:rsidRPr="00B73B74" w:rsidRDefault="00B73B74" w:rsidP="00B73B74">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（1）</w:t>
      </w:r>
      <w:r w:rsidRPr="00B73B74">
        <w:rPr>
          <w:rFonts w:ascii="方正仿宋_GBK" w:eastAsia="方正仿宋_GBK" w:hAnsi="方正仿宋_GBK" w:cs="方正仿宋_GBK"/>
          <w:sz w:val="28"/>
          <w:szCs w:val="28"/>
        </w:rPr>
        <w:t>申请人提交申请；</w:t>
      </w:r>
    </w:p>
    <w:p w:rsidR="00B73B74" w:rsidRPr="00B73B74" w:rsidRDefault="00B73B74" w:rsidP="00B73B74">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lastRenderedPageBreak/>
        <w:t>（2）</w:t>
      </w:r>
      <w:r w:rsidRPr="00B73B74">
        <w:rPr>
          <w:rFonts w:ascii="方正仿宋_GBK" w:eastAsia="方正仿宋_GBK" w:hAnsi="方正仿宋_GBK" w:cs="方正仿宋_GBK"/>
          <w:sz w:val="28"/>
          <w:szCs w:val="28"/>
        </w:rPr>
        <w:t>决定是否予以受理；</w:t>
      </w:r>
    </w:p>
    <w:p w:rsidR="00B73B74" w:rsidRPr="00B73B74" w:rsidRDefault="00B73B74" w:rsidP="00B73B74">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（3）</w:t>
      </w:r>
      <w:r w:rsidRPr="00B73B74">
        <w:rPr>
          <w:rFonts w:ascii="方正仿宋_GBK" w:eastAsia="方正仿宋_GBK" w:hAnsi="方正仿宋_GBK" w:cs="方正仿宋_GBK"/>
          <w:sz w:val="28"/>
          <w:szCs w:val="28"/>
        </w:rPr>
        <w:t>不予受理的，出具不予受理通知书；受理的，出具受理通知书，进行审查报批；</w:t>
      </w:r>
    </w:p>
    <w:p w:rsidR="00B73B74" w:rsidRPr="00B73B74" w:rsidRDefault="00B73B74" w:rsidP="00B73B74">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（4）</w:t>
      </w:r>
      <w:r w:rsidRPr="00B73B74">
        <w:rPr>
          <w:rFonts w:ascii="方正仿宋_GBK" w:eastAsia="方正仿宋_GBK" w:hAnsi="方正仿宋_GBK" w:cs="方正仿宋_GBK"/>
          <w:sz w:val="28"/>
          <w:szCs w:val="28"/>
        </w:rPr>
        <w:t>不予许可的，出具不予许可</w:t>
      </w:r>
      <w:r w:rsidRPr="00B73B74">
        <w:rPr>
          <w:rFonts w:ascii="方正仿宋_GBK" w:eastAsia="方正仿宋_GBK" w:hAnsi="方正仿宋_GBK" w:cs="方正仿宋_GBK" w:hint="eastAsia"/>
          <w:sz w:val="28"/>
          <w:szCs w:val="28"/>
        </w:rPr>
        <w:t>决定</w:t>
      </w:r>
      <w:r w:rsidRPr="00B73B74">
        <w:rPr>
          <w:rFonts w:ascii="方正仿宋_GBK" w:eastAsia="方正仿宋_GBK" w:hAnsi="方正仿宋_GBK" w:cs="方正仿宋_GBK"/>
          <w:sz w:val="28"/>
          <w:szCs w:val="28"/>
        </w:rPr>
        <w:t>书。许可的，向申请人出具</w:t>
      </w:r>
      <w:r w:rsidRPr="00B73B74">
        <w:rPr>
          <w:rFonts w:ascii="方正仿宋_GBK" w:eastAsia="方正仿宋_GBK" w:hAnsi="方正仿宋_GBK" w:cs="方正仿宋_GBK" w:hint="eastAsia"/>
          <w:sz w:val="28"/>
          <w:szCs w:val="28"/>
        </w:rPr>
        <w:t>《提取外币现钞备案表》</w:t>
      </w:r>
      <w:r w:rsidRPr="00B73B74">
        <w:rPr>
          <w:rFonts w:ascii="方正仿宋_GBK" w:eastAsia="方正仿宋_GBK" w:hAnsi="方正仿宋_GBK" w:cs="方正仿宋_GBK"/>
          <w:sz w:val="28"/>
          <w:szCs w:val="28"/>
        </w:rPr>
        <w:t>。</w:t>
      </w:r>
    </w:p>
    <w:p w:rsidR="00B73B74" w:rsidRPr="00B73B74" w:rsidRDefault="00B73B74" w:rsidP="00B73B74">
      <w:pPr>
        <w:spacing w:line="540" w:lineRule="exact"/>
        <w:ind w:firstLineChars="200" w:firstLine="560"/>
        <w:outlineLvl w:val="2"/>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（5）</w:t>
      </w:r>
      <w:r w:rsidRPr="00B73B74">
        <w:rPr>
          <w:rFonts w:ascii="方正仿宋_GBK" w:eastAsia="方正仿宋_GBK" w:hAnsi="方正仿宋_GBK" w:cs="方正仿宋_GBK"/>
          <w:sz w:val="28"/>
          <w:szCs w:val="28"/>
        </w:rPr>
        <w:t>材料不全或不符合法定形式的，一次性告知补正材料，并出具《行政许可补正通知书》。</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规定行政许可程序的依据</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《国家外汇管理局行政许可实施办法》（国家外汇管理局公告第1号）第十条外汇局收到行政许可申请后，应区分下列情况分别作出处理：</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（一）申请事项属于本局职责范围，但依法不需要取得行政许可的，应即时告知申请人不受理，出具不予受理行政许可通知书；</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（二）申请事项不属于本局职责范围，应即时作出不予受理的决定，出具不予受理行政许可通知书，并告知申请人向有关行政机关申请；</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三）申请事项属于本局职责范围，但申请材料不齐全或不符合法定形式的，应当场或在收到申请材料之日起5个工作日内作出要求申请人补正材料的决定，出具补正告知书，一次性告知申请人需要补正的全部内容；逾期不告知的，自收到申请材料之日起即为受理；</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申请人拒不补正，或者自补正告知书送达之日起30日内未能提交全部且符合法定形式的补正材料的，应不予受理，出具不予受理行政许可通知书；</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申请材料存在文字笔误等可当场更正的错误的，应允许申请人当</w:t>
      </w:r>
      <w:r>
        <w:rPr>
          <w:rFonts w:ascii="方正仿宋_GBK" w:eastAsia="方正仿宋_GBK" w:hAnsi="方正仿宋_GBK" w:cs="方正仿宋_GBK"/>
          <w:sz w:val="28"/>
          <w:szCs w:val="28"/>
        </w:rPr>
        <w:lastRenderedPageBreak/>
        <w:t>场更正，并告知其在修改处签字或盖章确认；</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（四）申请事项属于本局职责范围，申请材料齐全、符合法定形式，或者申请人按照要求提交全部补正申请材料的，应受理行政许可申请，出具行政许可受理通知书。</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《国家外汇管理局行政许可实施办法》（国家外汇管理局公告第1号）第十四条外汇局对行政许可申请审查后，应区分下列情况分别作出处理：</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（一）申请符合法定条件、拟准予行政许可的，应出具准予行政许可的书面决定。准予行政许可的书面决定应载明名称、出具单位、被许可人姓名或名称、行政许可事项、颁发日期、有效期（如有）等；</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（二）申请不符合法定条件、拟不予行政许可的，应出具不予行政许可决定书，并说明不予行政许可的理由，告知申请人享有依法申请行政复议的权利。</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是否需要现场勘验</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是否需要组织听证</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b/>
          <w:bCs/>
          <w:sz w:val="28"/>
          <w:szCs w:val="28"/>
        </w:rPr>
        <w:t>是否需要招标、拍卖、挂牌交易</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b/>
          <w:bCs/>
          <w:sz w:val="28"/>
          <w:szCs w:val="28"/>
        </w:rPr>
        <w:t>是否需要检验、检测、检疫</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b/>
          <w:bCs/>
          <w:sz w:val="28"/>
          <w:szCs w:val="28"/>
        </w:rPr>
        <w:t>是否需要鉴定</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b/>
          <w:bCs/>
          <w:sz w:val="28"/>
          <w:szCs w:val="28"/>
        </w:rPr>
        <w:t>是否需要专家评审</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9.</w:t>
      </w:r>
      <w:r>
        <w:rPr>
          <w:rFonts w:ascii="Times New Roman" w:eastAsia="仿宋GB2312" w:hAnsi="Times New Roman"/>
          <w:b/>
          <w:bCs/>
          <w:sz w:val="28"/>
          <w:szCs w:val="28"/>
        </w:rPr>
        <w:t>是否需要向社会公示</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b/>
          <w:bCs/>
          <w:sz w:val="28"/>
          <w:szCs w:val="28"/>
        </w:rPr>
        <w:t>是否实行告知承诺办理</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审批机关是否委托服务机构开展技术性服务：</w:t>
      </w:r>
      <w:r>
        <w:rPr>
          <w:rFonts w:ascii="方正仿宋_GBK" w:eastAsia="方正仿宋_GBK" w:hAnsi="方正仿宋_GBK" w:cs="方正仿宋_GBK" w:hint="eastAsia"/>
          <w:sz w:val="28"/>
          <w:szCs w:val="28"/>
        </w:rPr>
        <w:t>否</w:t>
      </w:r>
    </w:p>
    <w:p w:rsidR="00A93FC6" w:rsidRDefault="00FE19BF">
      <w:pPr>
        <w:numPr>
          <w:ilvl w:val="0"/>
          <w:numId w:val="1"/>
        </w:numPr>
        <w:spacing w:line="540" w:lineRule="exact"/>
        <w:outlineLvl w:val="1"/>
        <w:rPr>
          <w:rFonts w:ascii="Times New Roman" w:eastAsia="黑体" w:hAnsi="Times New Roman"/>
          <w:sz w:val="28"/>
          <w:szCs w:val="28"/>
        </w:rPr>
      </w:pPr>
      <w:bookmarkStart w:id="7" w:name="_Toc1980440012_WPSOffice_Level1"/>
      <w:r>
        <w:rPr>
          <w:rFonts w:ascii="Times New Roman" w:eastAsia="黑体" w:hAnsi="Times New Roman" w:hint="eastAsia"/>
          <w:sz w:val="28"/>
          <w:szCs w:val="28"/>
        </w:rPr>
        <w:t>受理和审批时限</w:t>
      </w:r>
      <w:bookmarkEnd w:id="7"/>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1.</w:t>
      </w:r>
      <w:r>
        <w:rPr>
          <w:rFonts w:ascii="Times New Roman" w:eastAsia="仿宋GB2312" w:hAnsi="Times New Roman" w:hint="eastAsia"/>
          <w:b/>
          <w:bCs/>
          <w:sz w:val="28"/>
          <w:szCs w:val="28"/>
        </w:rPr>
        <w:t>承诺受理时限：</w:t>
      </w:r>
      <w:r>
        <w:rPr>
          <w:rFonts w:ascii="方正仿宋_GBK" w:eastAsia="方正仿宋_GBK" w:hAnsi="方正仿宋_GBK" w:cs="方正仿宋_GBK"/>
          <w:sz w:val="28"/>
          <w:szCs w:val="28"/>
        </w:rPr>
        <w:t>5个工作日</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法定审批时限：</w:t>
      </w:r>
      <w:r>
        <w:rPr>
          <w:rFonts w:ascii="方正仿宋_GBK" w:eastAsia="方正仿宋_GBK" w:hAnsi="方正仿宋_GBK" w:cs="方正仿宋_GBK" w:hint="eastAsia"/>
          <w:sz w:val="28"/>
          <w:szCs w:val="28"/>
        </w:rPr>
        <w:t>20工作日</w:t>
      </w:r>
    </w:p>
    <w:p w:rsidR="00A93FC6" w:rsidRDefault="00FE19BF">
      <w:pPr>
        <w:spacing w:line="540" w:lineRule="exact"/>
        <w:ind w:firstLineChars="200" w:firstLine="562"/>
        <w:outlineLvl w:val="2"/>
        <w:rPr>
          <w:rFonts w:ascii="Times New Roman" w:eastAsia="仿宋GB2312" w:hAnsi="Times New Roman"/>
          <w:b/>
          <w:bCs/>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规定法定审批时限依据</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《国家外汇管理局行政许可实施办法》（国家外汇管理局公告2021年第1号）第十五条外汇局应根据以下要求确保行政许可依法按时完成：</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（一）能当场作出决定的，应当场作出行政许可决定。当场作出行政许可决定的，可不出具行政许可受理通知书；</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二）不能当场作出决定的，应自受理之日起20个工作日内作出决定；20个工作日内不能作出决定的，经本级外汇局局长或者主管副局长批准，可延长10个工作日，并向申请人出具延长行政许可办理期限通知书，说明延长期限的理由。行政许可办理期限只能延长一次。</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外汇局征求其他部门意见的时间计算在以上办理时限内；依法需要听证、检验、检测、鉴定、专家评审等的时间，不计算在上述办理时限内。</w:t>
      </w:r>
    </w:p>
    <w:p w:rsidR="00A93FC6" w:rsidRDefault="00FE19BF">
      <w:pPr>
        <w:spacing w:line="600" w:lineRule="exact"/>
        <w:ind w:firstLineChars="200" w:firstLine="560"/>
        <w:rPr>
          <w:rFonts w:ascii="方正仿宋_GBK" w:eastAsia="方正仿宋_GBK" w:hAnsi="方正仿宋_GBK" w:cs="方正仿宋_GBK"/>
          <w:sz w:val="28"/>
          <w:szCs w:val="28"/>
        </w:rPr>
      </w:pPr>
      <w:r>
        <w:rPr>
          <w:rFonts w:ascii="方正仿宋_GBK" w:eastAsia="方正仿宋_GBK" w:hAnsi="方正仿宋_GBK" w:cs="方正仿宋_GBK"/>
          <w:sz w:val="28"/>
          <w:szCs w:val="28"/>
        </w:rPr>
        <w:t>各级外汇局对行政许可办理时限具有对外承诺的，应按照其承诺的时限完成；对外承诺的时限应短于20个工作日。</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承诺审批时限：</w:t>
      </w:r>
      <w:r>
        <w:rPr>
          <w:rFonts w:ascii="方正仿宋_GBK" w:eastAsia="方正仿宋_GBK" w:hAnsi="方正仿宋_GBK" w:cs="方正仿宋_GBK"/>
          <w:sz w:val="28"/>
          <w:szCs w:val="28"/>
        </w:rPr>
        <w:t>20工作日</w:t>
      </w:r>
    </w:p>
    <w:p w:rsidR="00A93FC6" w:rsidRDefault="00FE19BF">
      <w:pPr>
        <w:numPr>
          <w:ilvl w:val="0"/>
          <w:numId w:val="1"/>
        </w:numPr>
        <w:spacing w:line="540" w:lineRule="exact"/>
        <w:outlineLvl w:val="1"/>
        <w:rPr>
          <w:rFonts w:ascii="Times New Roman" w:eastAsia="黑体" w:hAnsi="Times New Roman"/>
          <w:sz w:val="28"/>
          <w:szCs w:val="28"/>
        </w:rPr>
      </w:pPr>
      <w:bookmarkStart w:id="8" w:name="_Toc973191296_WPSOffice_Level1"/>
      <w:r>
        <w:rPr>
          <w:rFonts w:ascii="Times New Roman" w:eastAsia="黑体" w:hAnsi="Times New Roman" w:hint="eastAsia"/>
          <w:sz w:val="28"/>
          <w:szCs w:val="28"/>
        </w:rPr>
        <w:t>收费</w:t>
      </w:r>
      <w:bookmarkEnd w:id="8"/>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办理行政许可是否收费：</w:t>
      </w:r>
      <w:r>
        <w:rPr>
          <w:rFonts w:ascii="方正仿宋_GBK" w:eastAsia="方正仿宋_GBK" w:hAnsi="方正仿宋_GBK" w:cs="方正仿宋_GBK" w:hint="eastAsia"/>
          <w:sz w:val="28"/>
          <w:szCs w:val="28"/>
        </w:rPr>
        <w:t>否</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收费项目的名称、收费项目的标准、设定收费项目的依据、规定收费标准的依据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9" w:name="_Toc15138560_WPSOffice_Level1"/>
      <w:r>
        <w:rPr>
          <w:rFonts w:ascii="Times New Roman" w:eastAsia="黑体" w:hAnsi="Times New Roman" w:hint="eastAsia"/>
          <w:sz w:val="28"/>
          <w:szCs w:val="28"/>
        </w:rPr>
        <w:lastRenderedPageBreak/>
        <w:t>行政许可证件</w:t>
      </w:r>
      <w:bookmarkEnd w:id="9"/>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审批结果类型：</w:t>
      </w:r>
      <w:r>
        <w:rPr>
          <w:rFonts w:ascii="方正仿宋_GBK" w:eastAsia="方正仿宋_GBK" w:hAnsi="方正仿宋_GBK" w:cs="方正仿宋_GBK"/>
          <w:sz w:val="28"/>
          <w:szCs w:val="28"/>
        </w:rPr>
        <w:t>批文</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行政许可证件名称：</w:t>
      </w:r>
      <w:r w:rsidR="00B73B74" w:rsidRPr="00B73B74">
        <w:rPr>
          <w:rFonts w:ascii="方正仿宋_GBK" w:eastAsia="方正仿宋_GBK" w:hAnsi="方正仿宋_GBK" w:cs="方正仿宋_GBK" w:hint="eastAsia"/>
          <w:sz w:val="28"/>
          <w:szCs w:val="28"/>
        </w:rPr>
        <w:t>《提取外币现钞备案表》</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行政许可证件的有效期限：</w:t>
      </w:r>
      <w:r w:rsidR="00C83DFD">
        <w:rPr>
          <w:rFonts w:ascii="方正仿宋_GBK" w:eastAsia="方正仿宋_GBK" w:hAnsi="方正仿宋_GBK" w:cs="方正仿宋_GBK" w:hint="eastAsia"/>
          <w:sz w:val="28"/>
          <w:szCs w:val="28"/>
        </w:rPr>
        <w:t>原则上不超过1个月</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规定行政许可证件有效期限的依据：</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是否需要办理审批结果变更手续：</w:t>
      </w:r>
      <w:r>
        <w:rPr>
          <w:rFonts w:ascii="方正仿宋_GBK" w:eastAsia="方正仿宋_GBK" w:hAnsi="方正仿宋_GBK" w:cs="方正仿宋_GBK"/>
          <w:sz w:val="28"/>
          <w:szCs w:val="28"/>
        </w:rPr>
        <w:t>否</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办理审批结果变更手续的要求</w:t>
      </w:r>
      <w:r>
        <w:rPr>
          <w:rFonts w:ascii="Times New Roman" w:eastAsia="仿宋GB2312" w:hAnsi="Times New Roman" w:hint="eastAsia"/>
          <w:b/>
          <w:bCs/>
          <w:sz w:val="28"/>
          <w:szCs w:val="28"/>
        </w:rPr>
        <w:t>:</w:t>
      </w:r>
      <w:r>
        <w:rPr>
          <w:rFonts w:ascii="方正仿宋_GBK" w:eastAsia="方正仿宋_GBK" w:hAnsi="方正仿宋_GBK" w:cs="方正仿宋_GBK"/>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是否需要办理审批结果延续手续：</w:t>
      </w:r>
      <w:r>
        <w:rPr>
          <w:rFonts w:ascii="方正仿宋_GBK" w:eastAsia="方正仿宋_GBK" w:hAnsi="方正仿宋_GBK" w:cs="方正仿宋_GBK" w:hint="eastAsia"/>
          <w:sz w:val="28"/>
          <w:szCs w:val="28"/>
        </w:rPr>
        <w:t>否</w:t>
      </w:r>
    </w:p>
    <w:p w:rsidR="00A93FC6" w:rsidRDefault="00FE19BF">
      <w:pPr>
        <w:spacing w:line="540" w:lineRule="exact"/>
        <w:ind w:firstLineChars="200" w:firstLine="562"/>
        <w:outlineLvl w:val="2"/>
        <w:rPr>
          <w:rFonts w:ascii="Times New Roman" w:eastAsia="仿宋GB2312" w:hAnsi="Times New Roman"/>
          <w:sz w:val="32"/>
          <w:szCs w:val="32"/>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办理审批结果延续手续的要求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审批结果的有效地域范围</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全国</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10.</w:t>
      </w:r>
      <w:r>
        <w:rPr>
          <w:rFonts w:ascii="Times New Roman" w:eastAsia="仿宋GB2312" w:hAnsi="Times New Roman" w:hint="eastAsia"/>
          <w:b/>
          <w:bCs/>
          <w:sz w:val="28"/>
          <w:szCs w:val="28"/>
        </w:rPr>
        <w:t>规定审批结果有效地域范围的依据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0" w:name="_Toc718725018_WPSOffice_Level1"/>
      <w:r>
        <w:rPr>
          <w:rFonts w:ascii="Times New Roman" w:eastAsia="黑体" w:hAnsi="Times New Roman" w:hint="eastAsia"/>
          <w:sz w:val="28"/>
          <w:szCs w:val="28"/>
        </w:rPr>
        <w:t>行政许可数量限制</w:t>
      </w:r>
      <w:bookmarkEnd w:id="10"/>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有无行政许可数量限制：</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公布数量限制的方式：</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公布数量限制的周期：</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在数量限制条件下实施行政许可的方式：</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jc w:val="left"/>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规定在数量限制条件下实施行政许可方式的依据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1" w:name="_Toc1266337716_WPSOffice_Level1"/>
      <w:r>
        <w:rPr>
          <w:rFonts w:ascii="Times New Roman" w:eastAsia="黑体" w:hAnsi="Times New Roman" w:hint="eastAsia"/>
          <w:sz w:val="28"/>
          <w:szCs w:val="28"/>
        </w:rPr>
        <w:t>行政许可后年检</w:t>
      </w:r>
      <w:bookmarkEnd w:id="11"/>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有无年检要求：</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设定年检要求的依据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年检周期：</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年检是否要求报送材料：</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年检报送材料名称：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年检是否收费：</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lastRenderedPageBreak/>
        <w:t>7.</w:t>
      </w:r>
      <w:r>
        <w:rPr>
          <w:rFonts w:ascii="Times New Roman" w:eastAsia="仿宋GB2312" w:hAnsi="Times New Roman" w:hint="eastAsia"/>
          <w:b/>
          <w:bCs/>
          <w:sz w:val="28"/>
          <w:szCs w:val="28"/>
        </w:rPr>
        <w:t>年检收费项目的名称、年检收费项目的标准、设定年检收费项目的依据、规定年检项目收费标准的依据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Times New Roman" w:eastAsia="仿宋GB2312" w:hAnsi="Times New Roman"/>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通过年检的证明或者标志：</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2" w:name="_Toc175548163_WPSOffice_Level1"/>
      <w:r>
        <w:rPr>
          <w:rFonts w:ascii="Times New Roman" w:eastAsia="黑体" w:hAnsi="Times New Roman" w:hint="eastAsia"/>
          <w:sz w:val="28"/>
          <w:szCs w:val="28"/>
        </w:rPr>
        <w:t>行政许可后年报</w:t>
      </w:r>
      <w:bookmarkEnd w:id="12"/>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1.</w:t>
      </w:r>
      <w:r>
        <w:rPr>
          <w:rFonts w:ascii="Times New Roman" w:eastAsia="仿宋GB2312" w:hAnsi="Times New Roman"/>
          <w:b/>
          <w:bCs/>
          <w:sz w:val="28"/>
          <w:szCs w:val="28"/>
        </w:rPr>
        <w:t>有无年报要求</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2.</w:t>
      </w:r>
      <w:r>
        <w:rPr>
          <w:rFonts w:ascii="Times New Roman" w:eastAsia="仿宋GB2312" w:hAnsi="Times New Roman"/>
          <w:b/>
          <w:bCs/>
          <w:sz w:val="28"/>
          <w:szCs w:val="28"/>
        </w:rPr>
        <w:t>年报报送材料名称</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540" w:lineRule="exact"/>
        <w:ind w:firstLineChars="200" w:firstLine="562"/>
        <w:outlineLvl w:val="2"/>
        <w:rPr>
          <w:rFonts w:ascii="方正仿宋_GBK" w:eastAsia="方正仿宋_GBK"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b/>
          <w:bCs/>
          <w:sz w:val="28"/>
          <w:szCs w:val="28"/>
        </w:rPr>
        <w:t>设定年报要求的依据</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Times New Roman" w:eastAsia="仿宋GB2312" w:hAnsi="Times New Roman"/>
          <w:sz w:val="28"/>
          <w:szCs w:val="28"/>
        </w:rPr>
      </w:pPr>
      <w:r>
        <w:rPr>
          <w:rFonts w:ascii="Times New Roman" w:eastAsia="仿宋GB2312" w:hAnsi="Times New Roman" w:hint="eastAsia"/>
          <w:b/>
          <w:bCs/>
          <w:sz w:val="28"/>
          <w:szCs w:val="28"/>
        </w:rPr>
        <w:t>4.</w:t>
      </w:r>
      <w:r>
        <w:rPr>
          <w:rFonts w:ascii="Times New Roman" w:eastAsia="仿宋GB2312" w:hAnsi="Times New Roman"/>
          <w:b/>
          <w:bCs/>
          <w:sz w:val="28"/>
          <w:szCs w:val="28"/>
        </w:rPr>
        <w:t>年报周期</w:t>
      </w:r>
      <w:r>
        <w:rPr>
          <w:rFonts w:ascii="Times New Roman" w:eastAsia="仿宋GB2312" w:hAnsi="Times New Roman" w:hint="eastAsia"/>
          <w:b/>
          <w:bCs/>
          <w:sz w:val="28"/>
          <w:szCs w:val="28"/>
        </w:rPr>
        <w:t>：</w:t>
      </w:r>
      <w:r>
        <w:rPr>
          <w:rFonts w:ascii="方正仿宋_GBK" w:eastAsia="方正仿宋_GBK" w:hAnsi="方正仿宋_GBK" w:cs="方正仿宋_GBK" w:hint="eastAsia"/>
          <w:sz w:val="28"/>
          <w:szCs w:val="28"/>
        </w:rPr>
        <w:t>无</w:t>
      </w:r>
    </w:p>
    <w:p w:rsidR="00A93FC6" w:rsidRDefault="00FE19BF">
      <w:pPr>
        <w:numPr>
          <w:ilvl w:val="0"/>
          <w:numId w:val="1"/>
        </w:numPr>
        <w:spacing w:line="540" w:lineRule="exact"/>
        <w:outlineLvl w:val="1"/>
        <w:rPr>
          <w:rFonts w:ascii="Times New Roman" w:eastAsia="黑体" w:hAnsi="Times New Roman"/>
          <w:sz w:val="28"/>
          <w:szCs w:val="28"/>
        </w:rPr>
      </w:pPr>
      <w:bookmarkStart w:id="13" w:name="_Toc644441883_WPSOffice_Level1"/>
      <w:r>
        <w:rPr>
          <w:rFonts w:ascii="Times New Roman" w:eastAsia="黑体" w:hAnsi="Times New Roman" w:hint="eastAsia"/>
          <w:sz w:val="28"/>
          <w:szCs w:val="28"/>
        </w:rPr>
        <w:t>监管主体</w:t>
      </w:r>
      <w:bookmarkEnd w:id="13"/>
    </w:p>
    <w:p w:rsidR="00A93FC6" w:rsidRDefault="00FE19BF">
      <w:pPr>
        <w:spacing w:line="540" w:lineRule="exact"/>
        <w:ind w:firstLine="420"/>
        <w:outlineLvl w:val="1"/>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国家外汇管理局安徽省分局</w:t>
      </w:r>
    </w:p>
    <w:p w:rsidR="00A93FC6" w:rsidRDefault="00FE19BF">
      <w:pPr>
        <w:spacing w:line="540" w:lineRule="exact"/>
        <w:outlineLvl w:val="1"/>
        <w:rPr>
          <w:rFonts w:ascii="Times New Roman" w:eastAsia="黑体" w:hAnsi="Times New Roman"/>
          <w:sz w:val="28"/>
          <w:szCs w:val="28"/>
        </w:rPr>
      </w:pPr>
      <w:bookmarkStart w:id="14" w:name="_Toc1293375433_WPSOffice_Level1"/>
      <w:r>
        <w:rPr>
          <w:rFonts w:ascii="Times New Roman" w:eastAsia="黑体" w:hAnsi="Times New Roman" w:hint="eastAsia"/>
          <w:sz w:val="28"/>
          <w:szCs w:val="28"/>
        </w:rPr>
        <w:t>十五、业务办理信息</w:t>
      </w:r>
      <w:bookmarkEnd w:id="14"/>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w:t>
      </w:r>
      <w:r>
        <w:rPr>
          <w:rFonts w:ascii="Times New Roman" w:eastAsia="仿宋GB2312" w:hAnsi="Times New Roman" w:hint="eastAsia"/>
          <w:b/>
          <w:bCs/>
          <w:sz w:val="28"/>
          <w:szCs w:val="28"/>
        </w:rPr>
        <w:t>是否通办：</w:t>
      </w:r>
      <w:r>
        <w:rPr>
          <w:rFonts w:ascii="方正仿宋_GBK" w:eastAsia="方正仿宋_GBK" w:hAnsi="方正仿宋_GBK" w:cs="方正仿宋_GBK" w:hint="eastAsia"/>
          <w:sz w:val="28"/>
          <w:szCs w:val="28"/>
        </w:rPr>
        <w:t>否</w:t>
      </w:r>
    </w:p>
    <w:p w:rsidR="00A93FC6" w:rsidRDefault="00FE19BF">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2.</w:t>
      </w:r>
      <w:r>
        <w:rPr>
          <w:rFonts w:ascii="Times New Roman" w:eastAsia="仿宋GB2312" w:hAnsi="Times New Roman" w:hint="eastAsia"/>
          <w:b/>
          <w:bCs/>
          <w:sz w:val="28"/>
          <w:szCs w:val="28"/>
        </w:rPr>
        <w:t>通办业务模式：</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3.</w:t>
      </w:r>
      <w:r>
        <w:rPr>
          <w:rFonts w:ascii="Times New Roman" w:eastAsia="仿宋GB2312" w:hAnsi="Times New Roman" w:hint="eastAsia"/>
          <w:b/>
          <w:bCs/>
          <w:sz w:val="28"/>
          <w:szCs w:val="28"/>
        </w:rPr>
        <w:t>跨省通办事项名称：</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方正仿宋_GBK" w:eastAsia="仿宋GB2312" w:hAnsi="方正仿宋_GBK" w:cs="方正仿宋_GBK"/>
          <w:sz w:val="28"/>
          <w:szCs w:val="28"/>
        </w:rPr>
      </w:pPr>
      <w:r>
        <w:rPr>
          <w:rFonts w:ascii="Times New Roman" w:eastAsia="仿宋GB2312" w:hAnsi="Times New Roman" w:hint="eastAsia"/>
          <w:b/>
          <w:bCs/>
          <w:sz w:val="28"/>
          <w:szCs w:val="28"/>
        </w:rPr>
        <w:t>4.</w:t>
      </w:r>
      <w:r>
        <w:rPr>
          <w:rFonts w:ascii="Times New Roman" w:eastAsia="仿宋GB2312" w:hAnsi="Times New Roman" w:hint="eastAsia"/>
          <w:b/>
          <w:bCs/>
          <w:sz w:val="28"/>
          <w:szCs w:val="28"/>
        </w:rPr>
        <w:t>是否是</w:t>
      </w:r>
      <w:r>
        <w:rPr>
          <w:rFonts w:ascii="Times New Roman" w:eastAsia="仿宋GB2312" w:hAnsi="Times New Roman" w:hint="eastAsia"/>
          <w:b/>
          <w:bCs/>
          <w:sz w:val="28"/>
          <w:szCs w:val="28"/>
        </w:rPr>
        <w:t>35</w:t>
      </w:r>
      <w:r>
        <w:rPr>
          <w:rFonts w:ascii="Times New Roman" w:eastAsia="仿宋GB2312" w:hAnsi="Times New Roman" w:hint="eastAsia"/>
          <w:b/>
          <w:bCs/>
          <w:sz w:val="28"/>
          <w:szCs w:val="28"/>
        </w:rPr>
        <w:t>号文中的跨省通办事项：</w:t>
      </w:r>
      <w:r>
        <w:rPr>
          <w:rFonts w:ascii="方正仿宋_GBK" w:eastAsia="方正仿宋_GBK" w:hAnsi="方正仿宋_GBK" w:cs="方正仿宋_GBK" w:hint="eastAsia"/>
          <w:sz w:val="28"/>
          <w:szCs w:val="28"/>
        </w:rPr>
        <w:t>无</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5.</w:t>
      </w:r>
      <w:r>
        <w:rPr>
          <w:rFonts w:ascii="Times New Roman" w:eastAsia="仿宋GB2312" w:hAnsi="Times New Roman" w:hint="eastAsia"/>
          <w:b/>
          <w:bCs/>
          <w:sz w:val="28"/>
          <w:szCs w:val="28"/>
        </w:rPr>
        <w:t>是否网办：</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6.</w:t>
      </w:r>
      <w:r>
        <w:rPr>
          <w:rFonts w:ascii="Times New Roman" w:eastAsia="仿宋GB2312" w:hAnsi="Times New Roman" w:hint="eastAsia"/>
          <w:b/>
          <w:bCs/>
          <w:sz w:val="28"/>
          <w:szCs w:val="28"/>
        </w:rPr>
        <w:t>到办事现场次数：</w:t>
      </w:r>
      <w:r>
        <w:rPr>
          <w:rFonts w:ascii="方正仿宋_GBK" w:eastAsia="方正仿宋_GBK" w:hAnsi="方正仿宋_GBK" w:cs="方正仿宋_GBK" w:hint="eastAsia"/>
          <w:sz w:val="28"/>
          <w:szCs w:val="28"/>
        </w:rPr>
        <w:t>1</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7.</w:t>
      </w:r>
      <w:r>
        <w:rPr>
          <w:rFonts w:ascii="Times New Roman" w:eastAsia="仿宋GB2312" w:hAnsi="Times New Roman" w:hint="eastAsia"/>
          <w:b/>
          <w:bCs/>
          <w:sz w:val="28"/>
          <w:szCs w:val="28"/>
        </w:rPr>
        <w:t>必须现场办理原因说明：</w:t>
      </w:r>
      <w:r>
        <w:rPr>
          <w:rFonts w:ascii="方正仿宋_GBK" w:eastAsia="方正仿宋_GBK" w:hAnsi="方正仿宋_GBK" w:cs="方正仿宋_GBK" w:hint="eastAsia"/>
          <w:sz w:val="28"/>
          <w:szCs w:val="28"/>
        </w:rPr>
        <w:t>尚不适合互联网办理</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8.</w:t>
      </w:r>
      <w:r>
        <w:rPr>
          <w:rFonts w:ascii="Times New Roman" w:eastAsia="仿宋GB2312" w:hAnsi="Times New Roman" w:hint="eastAsia"/>
          <w:b/>
          <w:bCs/>
          <w:sz w:val="28"/>
          <w:szCs w:val="28"/>
        </w:rPr>
        <w:t>是否进驻政务大厅：</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9.</w:t>
      </w:r>
      <w:r>
        <w:rPr>
          <w:rFonts w:ascii="Times New Roman" w:eastAsia="仿宋GB2312" w:hAnsi="Times New Roman" w:hint="eastAsia"/>
          <w:b/>
          <w:bCs/>
          <w:sz w:val="28"/>
          <w:szCs w:val="28"/>
        </w:rPr>
        <w:t>办理地点：</w:t>
      </w:r>
      <w:r>
        <w:rPr>
          <w:rFonts w:ascii="方正仿宋_GBK" w:eastAsia="方正仿宋_GBK" w:hAnsi="方正仿宋_GBK" w:cs="方正仿宋_GBK" w:hint="eastAsia"/>
          <w:sz w:val="28"/>
          <w:szCs w:val="28"/>
        </w:rPr>
        <w:t>合肥市滨湖新区洞庭湖路3366号</w:t>
      </w:r>
    </w:p>
    <w:p w:rsidR="00A93FC6" w:rsidRDefault="00FE19BF">
      <w:pPr>
        <w:spacing w:line="600" w:lineRule="exact"/>
        <w:ind w:firstLineChars="200" w:firstLine="562"/>
        <w:rPr>
          <w:rFonts w:ascii="Times New Roman" w:eastAsia="仿宋GB2312" w:hAnsi="Times New Roman"/>
          <w:b/>
          <w:bCs/>
          <w:sz w:val="28"/>
          <w:szCs w:val="28"/>
        </w:rPr>
      </w:pPr>
      <w:r>
        <w:rPr>
          <w:rFonts w:ascii="Times New Roman" w:eastAsia="仿宋GB2312" w:hAnsi="Times New Roman" w:hint="eastAsia"/>
          <w:b/>
          <w:bCs/>
          <w:sz w:val="28"/>
          <w:szCs w:val="28"/>
        </w:rPr>
        <w:t>11.</w:t>
      </w:r>
      <w:r>
        <w:rPr>
          <w:rFonts w:ascii="Times New Roman" w:eastAsia="仿宋GB2312" w:hAnsi="Times New Roman" w:hint="eastAsia"/>
          <w:b/>
          <w:bCs/>
          <w:sz w:val="28"/>
          <w:szCs w:val="28"/>
        </w:rPr>
        <w:t>办理时间：</w:t>
      </w:r>
      <w:r>
        <w:rPr>
          <w:rFonts w:ascii="方正仿宋_GBK" w:eastAsia="方正仿宋_GBK" w:hAnsi="方正仿宋_GBK" w:cs="方正仿宋_GBK" w:hint="eastAsia"/>
          <w:sz w:val="28"/>
          <w:szCs w:val="28"/>
        </w:rPr>
        <w:t>工作日上午：8∶30—12∶00，下午：14∶00—17∶00</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12.</w:t>
      </w:r>
      <w:r>
        <w:rPr>
          <w:rFonts w:ascii="Times New Roman" w:eastAsia="仿宋GB2312" w:hAnsi="Times New Roman" w:hint="eastAsia"/>
          <w:b/>
          <w:bCs/>
          <w:sz w:val="28"/>
          <w:szCs w:val="28"/>
        </w:rPr>
        <w:t>咨询方式：</w:t>
      </w:r>
      <w:r>
        <w:rPr>
          <w:rFonts w:ascii="方正仿宋_GBK" w:eastAsia="方正仿宋_GBK" w:hAnsi="方正仿宋_GBK" w:cs="方正仿宋_GBK" w:hint="eastAsia"/>
          <w:sz w:val="28"/>
          <w:szCs w:val="28"/>
        </w:rPr>
        <w:t>（0551）63691</w:t>
      </w:r>
      <w:r w:rsidR="00B73B74">
        <w:rPr>
          <w:rFonts w:ascii="方正仿宋_GBK" w:eastAsia="方正仿宋_GBK" w:hAnsi="方正仿宋_GBK" w:cs="方正仿宋_GBK" w:hint="eastAsia"/>
          <w:sz w:val="28"/>
          <w:szCs w:val="28"/>
        </w:rPr>
        <w:t>221</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lastRenderedPageBreak/>
        <w:t>13.</w:t>
      </w:r>
      <w:r>
        <w:rPr>
          <w:rFonts w:ascii="Times New Roman" w:eastAsia="仿宋GB2312" w:hAnsi="Times New Roman" w:hint="eastAsia"/>
          <w:b/>
          <w:bCs/>
          <w:sz w:val="28"/>
          <w:szCs w:val="28"/>
        </w:rPr>
        <w:t>监督投诉方式：</w:t>
      </w:r>
      <w:r>
        <w:rPr>
          <w:rFonts w:ascii="方正仿宋_GBK" w:eastAsia="方正仿宋_GBK" w:hAnsi="方正仿宋_GBK" w:cs="方正仿宋_GBK" w:hint="eastAsia"/>
          <w:sz w:val="28"/>
          <w:szCs w:val="28"/>
        </w:rPr>
        <w:t>（0551）636911</w:t>
      </w:r>
      <w:r w:rsidR="00102015">
        <w:rPr>
          <w:rFonts w:ascii="方正仿宋_GBK" w:eastAsia="方正仿宋_GBK" w:hAnsi="方正仿宋_GBK" w:cs="方正仿宋_GBK" w:hint="eastAsia"/>
          <w:sz w:val="28"/>
          <w:szCs w:val="28"/>
        </w:rPr>
        <w:t>39</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14.</w:t>
      </w:r>
      <w:r>
        <w:rPr>
          <w:rFonts w:ascii="Times New Roman" w:eastAsia="仿宋GB2312" w:hAnsi="Times New Roman" w:hint="eastAsia"/>
          <w:b/>
          <w:bCs/>
          <w:sz w:val="28"/>
          <w:szCs w:val="28"/>
        </w:rPr>
        <w:t>是否支持网上支付：</w:t>
      </w:r>
      <w:r>
        <w:rPr>
          <w:rFonts w:ascii="方正仿宋_GBK" w:eastAsia="方正仿宋_GBK" w:hAnsi="方正仿宋_GBK" w:cs="方正仿宋_GBK"/>
          <w:sz w:val="28"/>
          <w:szCs w:val="28"/>
        </w:rPr>
        <w:t>否</w:t>
      </w:r>
    </w:p>
    <w:p w:rsidR="00A93FC6" w:rsidRDefault="00FE19BF">
      <w:pPr>
        <w:spacing w:line="600" w:lineRule="exact"/>
        <w:ind w:firstLineChars="200" w:firstLine="562"/>
        <w:rPr>
          <w:rFonts w:ascii="方正仿宋_GBK" w:eastAsia="方正仿宋_GBK" w:hAnsi="方正仿宋_GBK" w:cs="方正仿宋_GBK"/>
          <w:sz w:val="28"/>
          <w:szCs w:val="28"/>
        </w:rPr>
      </w:pPr>
      <w:r>
        <w:rPr>
          <w:rFonts w:ascii="Times New Roman" w:eastAsia="仿宋GB2312" w:hAnsi="Times New Roman" w:hint="eastAsia"/>
          <w:b/>
          <w:bCs/>
          <w:sz w:val="28"/>
          <w:szCs w:val="28"/>
        </w:rPr>
        <w:t>15.</w:t>
      </w:r>
      <w:r>
        <w:rPr>
          <w:rFonts w:ascii="Times New Roman" w:eastAsia="仿宋GB2312" w:hAnsi="Times New Roman" w:hint="eastAsia"/>
          <w:b/>
          <w:bCs/>
          <w:sz w:val="28"/>
          <w:szCs w:val="28"/>
        </w:rPr>
        <w:t>是否支持物流快递：</w:t>
      </w:r>
      <w:r>
        <w:rPr>
          <w:rFonts w:ascii="方正仿宋_GBK" w:eastAsia="方正仿宋_GBK" w:hAnsi="方正仿宋_GBK" w:cs="方正仿宋_GBK"/>
          <w:sz w:val="28"/>
          <w:szCs w:val="28"/>
        </w:rPr>
        <w:t>否</w:t>
      </w:r>
    </w:p>
    <w:p w:rsidR="00A93FC6" w:rsidRDefault="00FE19BF">
      <w:r>
        <w:br w:type="page"/>
      </w:r>
    </w:p>
    <w:sectPr w:rsidR="00A93FC6" w:rsidSect="00A93FC6">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71A3" w:rsidRDefault="000071A3" w:rsidP="00102015">
      <w:pPr>
        <w:ind w:firstLine="560"/>
      </w:pPr>
      <w:r>
        <w:separator/>
      </w:r>
    </w:p>
  </w:endnote>
  <w:endnote w:type="continuationSeparator" w:id="1">
    <w:p w:rsidR="000071A3" w:rsidRDefault="000071A3" w:rsidP="00102015">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仿宋"/>
    <w:charset w:val="00"/>
    <w:family w:val="auto"/>
    <w:pitch w:val="default"/>
    <w:sig w:usb0="00000000" w:usb1="38CF7CFA" w:usb2="00000016" w:usb3="00000000" w:csb0="0004000F" w:csb1="00000000"/>
  </w:font>
  <w:font w:name="方正小标宋_GBK">
    <w:panose1 w:val="02000000000000000000"/>
    <w:charset w:val="86"/>
    <w:family w:val="auto"/>
    <w:pitch w:val="variable"/>
    <w:sig w:usb0="A00002BF" w:usb1="38CF7CFA" w:usb2="00082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GB2312">
    <w:altName w:val="宋体"/>
    <w:charset w:val="00"/>
    <w:family w:val="roman"/>
    <w:pitch w:val="default"/>
    <w:sig w:usb0="00000000" w:usb1="00000000" w:usb2="00000000" w:usb3="00000000" w:csb0="00040001" w:csb1="00000000"/>
  </w:font>
  <w:font w:name="方正仿宋_GBK">
    <w:altName w:val="微软雅黑"/>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71A3" w:rsidRDefault="000071A3" w:rsidP="00102015">
      <w:pPr>
        <w:ind w:firstLine="560"/>
      </w:pPr>
      <w:r>
        <w:separator/>
      </w:r>
    </w:p>
  </w:footnote>
  <w:footnote w:type="continuationSeparator" w:id="1">
    <w:p w:rsidR="000071A3" w:rsidRDefault="000071A3" w:rsidP="00102015">
      <w:pPr>
        <w:ind w:firstLine="56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FF30B91"/>
    <w:multiLevelType w:val="singleLevel"/>
    <w:tmpl w:val="EFF30B91"/>
    <w:lvl w:ilvl="0">
      <w:start w:val="1"/>
      <w:numFmt w:val="chineseCounting"/>
      <w:suff w:val="nothing"/>
      <w:lvlText w:val="%1、"/>
      <w:lvlJc w:val="left"/>
      <w:rPr>
        <w:rFonts w:hint="eastAsia"/>
        <w:lang w:val="en-US"/>
      </w:rPr>
    </w:lvl>
  </w:abstractNum>
  <w:abstractNum w:abstractNumId="1">
    <w:nsid w:val="65C279AA"/>
    <w:multiLevelType w:val="singleLevel"/>
    <w:tmpl w:val="65C279AA"/>
    <w:lvl w:ilvl="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9218" fillcolor="#9cbee0" strokecolor="#739cc3">
      <v:fill color="#9cbee0" color2="#bbd5f0" type="gradient">
        <o:fill v:ext="view" type="gradientUnscaled"/>
      </v:fill>
      <v:stroke color="#739cc3" weight="1.25pt" miterlimit="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93FC6"/>
    <w:rsid w:val="000071A3"/>
    <w:rsid w:val="00102015"/>
    <w:rsid w:val="005D20D8"/>
    <w:rsid w:val="006A57C3"/>
    <w:rsid w:val="006F021C"/>
    <w:rsid w:val="00A93FC6"/>
    <w:rsid w:val="00B73B74"/>
    <w:rsid w:val="00C83DFD"/>
    <w:rsid w:val="00E145A7"/>
    <w:rsid w:val="00FE19B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3"/>
    <w:qFormat/>
    <w:rsid w:val="00A93FC6"/>
    <w:pPr>
      <w:widowControl w:val="0"/>
      <w:jc w:val="both"/>
    </w:pPr>
    <w:rPr>
      <w:rFonts w:ascii="等线" w:eastAsia="等线" w:hAnsi="等线"/>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toc 3"/>
    <w:basedOn w:val="a"/>
    <w:next w:val="a"/>
    <w:uiPriority w:val="39"/>
    <w:semiHidden/>
    <w:unhideWhenUsed/>
    <w:rsid w:val="00A93FC6"/>
    <w:pPr>
      <w:ind w:leftChars="400" w:left="840"/>
    </w:pPr>
    <w:rPr>
      <w:rFonts w:hint="eastAsia"/>
    </w:rPr>
  </w:style>
  <w:style w:type="paragraph" w:styleId="a3">
    <w:name w:val="footer"/>
    <w:basedOn w:val="a"/>
    <w:link w:val="Char"/>
    <w:uiPriority w:val="99"/>
    <w:semiHidden/>
    <w:unhideWhenUsed/>
    <w:rsid w:val="00A93FC6"/>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A93FC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A93FC6"/>
    <w:rPr>
      <w:rFonts w:ascii="等线" w:eastAsia="等线" w:hAnsi="等线" w:cs="Times New Roman"/>
      <w:sz w:val="18"/>
      <w:szCs w:val="18"/>
    </w:rPr>
  </w:style>
  <w:style w:type="character" w:customStyle="1" w:styleId="Char">
    <w:name w:val="页脚 Char"/>
    <w:basedOn w:val="a0"/>
    <w:link w:val="a3"/>
    <w:uiPriority w:val="99"/>
    <w:rsid w:val="00A93FC6"/>
    <w:rPr>
      <w:rFonts w:ascii="等线" w:eastAsia="等线" w:hAnsi="等线"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10</Pages>
  <Words>507</Words>
  <Characters>2893</Characters>
  <Application>Microsoft Office Word</Application>
  <DocSecurity>0</DocSecurity>
  <Lines>24</Lines>
  <Paragraphs>6</Paragraphs>
  <ScaleCrop>false</ScaleCrop>
  <Company/>
  <LinksUpToDate>false</LinksUpToDate>
  <CharactersWithSpaces>3394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支付机构经常项目收支登记新办</dc:title>
  <dc:creator>kylin</dc:creator>
  <cp:lastModifiedBy>caixi</cp:lastModifiedBy>
  <cp:revision>3</cp:revision>
  <dcterms:created xsi:type="dcterms:W3CDTF">2023-10-07T06:18:00Z</dcterms:created>
  <dcterms:modified xsi:type="dcterms:W3CDTF">2024-07-16T08:03:00Z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ies>
</file>