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6F9A" w:rsidRDefault="00066F9A" w:rsidP="00066F9A">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地（市）分局办理的外保内贷履约形成外债登记</w:t>
      </w:r>
    </w:p>
    <w:p w:rsidR="00066F9A" w:rsidRDefault="00066F9A" w:rsidP="00066F9A">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【000171108014】</w:t>
      </w:r>
    </w:p>
    <w:p w:rsidR="00066F9A" w:rsidRDefault="00066F9A" w:rsidP="00066F9A">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一、基本要素</w:t>
      </w:r>
    </w:p>
    <w:p w:rsidR="00066F9A" w:rsidRDefault="00066F9A" w:rsidP="00066F9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行政许可事项名称</w:t>
      </w:r>
      <w:r>
        <w:rPr>
          <w:rFonts w:ascii="Times New Roman" w:eastAsia="仿宋GB2312" w:hAnsi="Times New Roman" w:hint="eastAsia"/>
          <w:b/>
          <w:bCs/>
          <w:sz w:val="28"/>
          <w:szCs w:val="28"/>
        </w:rPr>
        <w:t>及编码</w:t>
      </w:r>
    </w:p>
    <w:p w:rsidR="00066F9A" w:rsidRDefault="00066F9A" w:rsidP="00066F9A">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境内机构外债、跨境担保核准【00017110800Y】</w:t>
      </w:r>
    </w:p>
    <w:p w:rsidR="00066F9A" w:rsidRDefault="00066F9A" w:rsidP="00066F9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行政许可</w:t>
      </w:r>
      <w:r>
        <w:rPr>
          <w:rFonts w:ascii="Times New Roman" w:eastAsia="仿宋GB2312" w:hAnsi="Times New Roman" w:hint="eastAsia"/>
          <w:b/>
          <w:bCs/>
          <w:sz w:val="28"/>
          <w:szCs w:val="28"/>
        </w:rPr>
        <w:t>事项子项名称及编码</w:t>
      </w:r>
    </w:p>
    <w:p w:rsidR="00066F9A" w:rsidRDefault="00066F9A" w:rsidP="00066F9A">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地（市）分局办理的外保内贷履约形成外债登记【000171108014】</w:t>
      </w:r>
    </w:p>
    <w:p w:rsidR="00066F9A" w:rsidRDefault="00066F9A" w:rsidP="00066F9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行政许可事项业务办理项名称及编码</w:t>
      </w:r>
    </w:p>
    <w:p w:rsidR="00066F9A" w:rsidRDefault="00066F9A" w:rsidP="00066F9A">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地（市）分局办理的外保内贷履约形成外债登记(00017110801401)</w:t>
      </w:r>
    </w:p>
    <w:p w:rsidR="00066F9A" w:rsidRDefault="00066F9A" w:rsidP="00066F9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设定依据</w:t>
      </w:r>
    </w:p>
    <w:p w:rsidR="00066F9A" w:rsidRDefault="00066F9A" w:rsidP="00066F9A">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（1）《中华人民共和国外汇管理条例》第十八条</w:t>
      </w:r>
    </w:p>
    <w:p w:rsidR="00066F9A" w:rsidRDefault="00066F9A" w:rsidP="00066F9A">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（2）《国务院对确需保留的行政审批项目设定行政许可的决定》附件第471项</w:t>
      </w:r>
    </w:p>
    <w:p w:rsidR="00066F9A" w:rsidRDefault="00066F9A" w:rsidP="00066F9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实施依据</w:t>
      </w:r>
    </w:p>
    <w:p w:rsidR="00066F9A" w:rsidRDefault="00066F9A" w:rsidP="00066F9A">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（1）《外债登记管理办法》第三条</w:t>
      </w:r>
    </w:p>
    <w:p w:rsidR="00066F9A" w:rsidRDefault="00066F9A" w:rsidP="00066F9A">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（2）《跨境担保外汇管理规定》第二十条</w:t>
      </w:r>
    </w:p>
    <w:p w:rsidR="00066F9A" w:rsidRDefault="00066F9A" w:rsidP="00066F9A">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（3）《国家外汇管理局行政许可实施办法》</w:t>
      </w:r>
    </w:p>
    <w:p w:rsidR="00066F9A" w:rsidRDefault="00066F9A" w:rsidP="00066F9A">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w:t>
      </w:r>
      <w:r w:rsidR="00B70427">
        <w:rPr>
          <w:rFonts w:ascii="方正仿宋_GBK" w:eastAsia="方正仿宋_GBK" w:hAnsi="方正仿宋_GBK" w:cs="方正仿宋_GBK"/>
          <w:sz w:val="28"/>
          <w:szCs w:val="28"/>
        </w:rPr>
        <w:t>）</w:t>
      </w:r>
      <w:r>
        <w:rPr>
          <w:rFonts w:ascii="方正仿宋_GBK" w:eastAsia="方正仿宋_GBK" w:hAnsi="方正仿宋_GBK" w:cs="方正仿宋_GBK"/>
          <w:sz w:val="28"/>
          <w:szCs w:val="28"/>
        </w:rPr>
        <w:t>《资本项目外汇业务指引（2020年版）》（汇综发〔2020〕89号文印发）2.6外保内贷履约外债登记审核材料</w:t>
      </w:r>
    </w:p>
    <w:p w:rsidR="00066F9A" w:rsidRDefault="00066F9A" w:rsidP="00066F9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监管依据</w:t>
      </w:r>
    </w:p>
    <w:p w:rsidR="00066F9A" w:rsidRDefault="00066F9A" w:rsidP="00066F9A">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《中华人民共和国外汇管理条例》</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实施机关</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国家外汇局地（市）分局</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8.</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行使</w:t>
      </w:r>
      <w:r>
        <w:rPr>
          <w:rFonts w:ascii="Times New Roman" w:eastAsia="仿宋GB2312" w:hAnsi="Times New Roman"/>
          <w:b/>
          <w:bCs/>
          <w:sz w:val="28"/>
          <w:szCs w:val="28"/>
        </w:rPr>
        <w:t>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市级/隶属</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设区的市级</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是否存在初审环节</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66F9A" w:rsidRDefault="00066F9A" w:rsidP="00066F9A">
      <w:pPr>
        <w:spacing w:line="600" w:lineRule="exact"/>
        <w:ind w:firstLineChars="200" w:firstLine="562"/>
        <w:rPr>
          <w:rFonts w:ascii="Times New Roman" w:eastAsia="仿宋GB2312" w:hAnsi="Times New Roman"/>
          <w:sz w:val="28"/>
          <w:szCs w:val="28"/>
          <w:highlight w:val="yellow"/>
        </w:rPr>
      </w:pPr>
      <w:r>
        <w:rPr>
          <w:rFonts w:ascii="Times New Roman" w:eastAsia="仿宋GB2312" w:hAnsi="Times New Roman" w:hint="eastAsia"/>
          <w:b/>
          <w:bCs/>
          <w:sz w:val="28"/>
          <w:szCs w:val="28"/>
        </w:rPr>
        <w:t>13.</w:t>
      </w:r>
      <w:r>
        <w:rPr>
          <w:rFonts w:ascii="Times New Roman" w:eastAsia="仿宋GB2312" w:hAnsi="Times New Roman"/>
          <w:b/>
          <w:bCs/>
          <w:sz w:val="28"/>
          <w:szCs w:val="28"/>
        </w:rPr>
        <w:t>初审层级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066F9A" w:rsidRDefault="00066F9A" w:rsidP="00066F9A">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对应政务服务事项国家级基本目录名称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外保内贷履约外债登记</w:t>
      </w:r>
    </w:p>
    <w:p w:rsidR="00066F9A" w:rsidRDefault="00066F9A" w:rsidP="00066F9A">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要素统一情况：</w:t>
      </w:r>
      <w:r>
        <w:rPr>
          <w:rFonts w:ascii="方正仿宋_GBK" w:eastAsia="方正仿宋_GBK" w:hAnsi="方正仿宋_GBK" w:cs="方正仿宋_GBK" w:hint="eastAsia"/>
          <w:sz w:val="28"/>
          <w:szCs w:val="28"/>
        </w:rPr>
        <w:t>全部要素全国统一</w:t>
      </w:r>
    </w:p>
    <w:p w:rsidR="00066F9A" w:rsidRDefault="00066F9A" w:rsidP="00066F9A">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二、行政许可事项类型</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066F9A" w:rsidRDefault="00066F9A" w:rsidP="00066F9A">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三、行政许可条件</w:t>
      </w:r>
    </w:p>
    <w:p w:rsidR="00066F9A" w:rsidRDefault="00066F9A" w:rsidP="00066F9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发生境外担保履约的外保内贷业务。</w:t>
      </w:r>
    </w:p>
    <w:p w:rsidR="00066F9A" w:rsidRDefault="00066F9A" w:rsidP="00066F9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跨境担保外汇管理规定》第二十条外保内贷业务发生境外担保履约的，境内债务人应到所在地外汇局办理短期外债签约登记及相关信息备案手续。外汇局在外债签约登记环节对债务人外保内贷业务的合规性进行事后核查。</w:t>
      </w:r>
    </w:p>
    <w:p w:rsidR="00066F9A" w:rsidRDefault="00066F9A" w:rsidP="00066F9A">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四、</w:t>
      </w:r>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4.</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066F9A" w:rsidRPr="003B3A73" w:rsidRDefault="00066F9A" w:rsidP="003B3A73">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具体改革举措</w:t>
      </w:r>
      <w:r w:rsidR="003B3A73">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066F9A" w:rsidRDefault="00066F9A" w:rsidP="00066F9A">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加强事中事后监管措施</w:t>
      </w:r>
    </w:p>
    <w:p w:rsidR="00066F9A" w:rsidRDefault="008762F9"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w:t>
      </w:r>
      <w:r w:rsidR="00066F9A">
        <w:rPr>
          <w:rFonts w:ascii="方正仿宋_GBK" w:eastAsia="方正仿宋_GBK" w:hAnsi="方正仿宋_GBK" w:cs="方正仿宋_GBK"/>
          <w:sz w:val="28"/>
          <w:szCs w:val="28"/>
        </w:rPr>
        <w:t>开展“双随机、一公开”监管，依法查处违规行为，适时公开相关案例。</w:t>
      </w:r>
      <w:r>
        <w:rPr>
          <w:rFonts w:ascii="方正仿宋_GBK" w:eastAsia="方正仿宋_GBK" w:hAnsi="方正仿宋_GBK" w:cs="方正仿宋_GBK" w:hint="eastAsia"/>
          <w:sz w:val="28"/>
          <w:szCs w:val="28"/>
        </w:rPr>
        <w:t>（2）</w:t>
      </w:r>
      <w:r w:rsidR="00066F9A">
        <w:rPr>
          <w:rFonts w:ascii="方正仿宋_GBK" w:eastAsia="方正仿宋_GBK" w:hAnsi="方正仿宋_GBK" w:cs="方正仿宋_GBK"/>
          <w:sz w:val="28"/>
          <w:szCs w:val="28"/>
        </w:rPr>
        <w:t>依法及时处理投诉举报。</w:t>
      </w:r>
      <w:r>
        <w:rPr>
          <w:rFonts w:ascii="方正仿宋_GBK" w:eastAsia="方正仿宋_GBK" w:hAnsi="方正仿宋_GBK" w:cs="方正仿宋_GBK" w:hint="eastAsia"/>
          <w:sz w:val="28"/>
          <w:szCs w:val="28"/>
        </w:rPr>
        <w:t>（3）</w:t>
      </w:r>
      <w:r w:rsidR="00066F9A">
        <w:rPr>
          <w:rFonts w:ascii="方正仿宋_GBK" w:eastAsia="方正仿宋_GBK" w:hAnsi="方正仿宋_GBK" w:cs="方正仿宋_GBK"/>
          <w:sz w:val="28"/>
          <w:szCs w:val="28"/>
        </w:rPr>
        <w:t>开展数据统计与监测，掌握外汇业务情况。</w:t>
      </w:r>
    </w:p>
    <w:p w:rsidR="00066F9A" w:rsidRDefault="00066F9A" w:rsidP="00066F9A">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五、申请材料</w:t>
      </w:r>
    </w:p>
    <w:p w:rsidR="00066F9A" w:rsidRDefault="00066F9A" w:rsidP="00066F9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加盖公章的书面申请原件1份</w:t>
      </w:r>
      <w:r>
        <w:rPr>
          <w:rFonts w:ascii="方正仿宋_GBK" w:eastAsia="方正仿宋_GBK" w:hAnsi="方正仿宋_GBK" w:cs="方正仿宋_GBK" w:hint="eastAsia"/>
          <w:sz w:val="28"/>
          <w:szCs w:val="28"/>
        </w:rPr>
        <w:tab/>
      </w:r>
      <w:r>
        <w:rPr>
          <w:rFonts w:ascii="方正仿宋_GBK" w:eastAsia="方正仿宋_GBK" w:hAnsi="方正仿宋_GBK" w:cs="方正仿宋_GBK" w:hint="eastAsia"/>
          <w:sz w:val="28"/>
          <w:szCs w:val="28"/>
        </w:rPr>
        <w:tab/>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担保履约证明文件原件及加盖公章的复印件各1份</w:t>
      </w:r>
      <w:r>
        <w:rPr>
          <w:rFonts w:ascii="方正仿宋_GBK" w:eastAsia="方正仿宋_GBK" w:hAnsi="方正仿宋_GBK" w:cs="方正仿宋_GBK" w:hint="eastAsia"/>
          <w:sz w:val="28"/>
          <w:szCs w:val="28"/>
        </w:rPr>
        <w:tab/>
        <w:t>（验原件，留存复印件）</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最近一期经审计的财务报告。选择“投注差”模式借用外债的外商投资企业，还应提供外商投资企业批准证书或商务部业务系统统一平台打印的外商投资企业基本信息页面原件及加盖公章的复印件各1份（验原件，留存加盖公章的复印件）</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营业执照（统一社会信用代码证）原件或加盖公章的复印件1份。</w:t>
      </w:r>
    </w:p>
    <w:p w:rsidR="00066F9A" w:rsidRDefault="00066F9A" w:rsidP="00066F9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跨境担保外汇管理规定》第二十条外保内贷业务发生境外担保履约的，境内债务人应到所在地外汇局办理短期外债签约登记及相关信息备案手续。外汇局在外债签约登记环节对债务人外保内贷业务的合规性进行事后核查。</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lastRenderedPageBreak/>
        <w:t>（2）《跨境担保外汇管理规定》附件2《跨境担保外汇管理操作指引》第二部分第四条因境外担保履约而申请办理外债登记的，债务人应当向外汇局提供以下材料：</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（一）关于办理外债签约登记的书面申请报告</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（二）担保合同复印件和担保履约证明文件</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（三）外商投资企业应提供批准证书、营业执照等文件，中资企业应提供营业执照。</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（四）上年度末经审计的债务人财务报表。</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（3）《国家外汇管理局行政许可实施办法》（国家外汇管理局公告2021年第1号）第八条……申请人为机构的，应出示统一社会信用代码证或营业执照原件，或加盖公章的上述证件复印件……。</w:t>
      </w:r>
    </w:p>
    <w:p w:rsidR="00066F9A" w:rsidRDefault="00066F9A" w:rsidP="00066F9A">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六、中介服务</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有</w:t>
      </w:r>
    </w:p>
    <w:p w:rsidR="00066F9A" w:rsidRDefault="00066F9A" w:rsidP="00066F9A">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经审计的财务报告</w:t>
      </w:r>
    </w:p>
    <w:p w:rsidR="00066F9A" w:rsidRDefault="00066F9A" w:rsidP="00066F9A">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p>
    <w:p w:rsidR="00066F9A" w:rsidRDefault="00066F9A" w:rsidP="00066F9A">
      <w:pPr>
        <w:spacing w:line="600" w:lineRule="exact"/>
        <w:ind w:firstLineChars="200" w:firstLine="560"/>
        <w:rPr>
          <w:rFonts w:ascii="Times New Roman" w:eastAsia="仿宋GB2312" w:hAnsi="Times New Roman"/>
          <w:sz w:val="28"/>
          <w:szCs w:val="28"/>
        </w:rPr>
      </w:pPr>
      <w:r>
        <w:rPr>
          <w:rFonts w:ascii="方正仿宋_GBK" w:eastAsia="方正仿宋_GBK" w:hAnsi="方正仿宋_GBK" w:cs="方正仿宋_GBK"/>
          <w:sz w:val="28"/>
          <w:szCs w:val="28"/>
        </w:rPr>
        <w:t>《资本项目外汇业务指引（2020年版）》第二部分2.6外保内贷履约外债登记</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审核材料</w:t>
      </w:r>
    </w:p>
    <w:p w:rsidR="00066F9A" w:rsidRDefault="00066F9A" w:rsidP="00066F9A">
      <w:pPr>
        <w:spacing w:line="600" w:lineRule="exact"/>
        <w:ind w:firstLineChars="200" w:firstLine="560"/>
        <w:rPr>
          <w:rFonts w:ascii="Times New Roman" w:eastAsia="仿宋GB2312" w:hAnsi="Times New Roman"/>
          <w:sz w:val="28"/>
          <w:szCs w:val="28"/>
        </w:rPr>
      </w:pPr>
      <w:r>
        <w:rPr>
          <w:rFonts w:ascii="方正仿宋_GBK" w:eastAsia="方正仿宋_GBK" w:hAnsi="方正仿宋_GBK" w:cs="方正仿宋_GBK"/>
          <w:sz w:val="28"/>
          <w:szCs w:val="28"/>
        </w:rPr>
        <w:t>3.上年度或最近一期经审计的财务报告。</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会计师事务所等具有财务报告审计资格的机构</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经营服务性收费（市场调节价）</w:t>
      </w:r>
    </w:p>
    <w:p w:rsidR="00066F9A" w:rsidRDefault="00066F9A" w:rsidP="00066F9A">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七、审批程序</w:t>
      </w:r>
    </w:p>
    <w:p w:rsidR="00066F9A" w:rsidRDefault="00066F9A" w:rsidP="00066F9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lastRenderedPageBreak/>
        <w:t>1.</w:t>
      </w:r>
      <w:r>
        <w:rPr>
          <w:rFonts w:ascii="Times New Roman" w:eastAsia="仿宋GB2312" w:hAnsi="Times New Roman" w:hint="eastAsia"/>
          <w:b/>
          <w:bCs/>
          <w:sz w:val="28"/>
          <w:szCs w:val="28"/>
        </w:rPr>
        <w:t>办理行政许可的程序环节</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（1）申请人申请；</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（2）审批机构受理/不予受理；</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（3）审批机构审查；</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（4）决定作出许可决定书/不予许可决定书</w:t>
      </w:r>
    </w:p>
    <w:p w:rsidR="00066F9A" w:rsidRDefault="00066F9A" w:rsidP="00066F9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《国家外汇管理局行政许可实施办法》第十条外汇局收到行政许可申请后，应区分下列情况分别作出处理：</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（1）申请事项属于本局职责范围，但依法不需要取得行政许可的，应即时告知申请人不受理，出具不予受理行政许可通知书；</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（2）申请事项不属于本局职责范围，应即时作出不予受理的决定，出具不予受理行政许可通知书，并告知申请人向有关行政机关申请；</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申请人拒不补正，或者自补正告知书送达之日起30日内未能提交全部且符合法定形式的补正材料的，应不予受理，出具不予受理行政许可通知书；</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申请材料存在文字笔误等可当场更正的错误的，应允许申请人当场更正，并告知其在修改处签字或盖章确认；</w:t>
      </w:r>
    </w:p>
    <w:p w:rsidR="00066F9A" w:rsidRDefault="008762F9" w:rsidP="008762F9">
      <w:pPr>
        <w:spacing w:line="600" w:lineRule="exact"/>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 xml:space="preserve">    </w:t>
      </w:r>
      <w:r w:rsidR="00066F9A">
        <w:rPr>
          <w:rFonts w:ascii="方正仿宋_GBK" w:eastAsia="方正仿宋_GBK" w:hAnsi="方正仿宋_GBK" w:cs="方正仿宋_GBK"/>
          <w:sz w:val="28"/>
          <w:szCs w:val="28"/>
        </w:rPr>
        <w:t>（4）申请事项属于本局职责范围，申请材料齐全、符合法定形</w:t>
      </w:r>
      <w:r w:rsidR="00066F9A">
        <w:rPr>
          <w:rFonts w:ascii="方正仿宋_GBK" w:eastAsia="方正仿宋_GBK" w:hAnsi="方正仿宋_GBK" w:cs="方正仿宋_GBK"/>
          <w:sz w:val="28"/>
          <w:szCs w:val="28"/>
        </w:rPr>
        <w:lastRenderedPageBreak/>
        <w:t>式，或者申请人按照要求提交全部补正申请材料的，应受理行政许可申请，出具行政许可受理通知书。</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《国家外汇管理局行政许可实施办法》第十四条外汇局对行政许可申请审查后，应区分下列情况分别作出处理：</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（1）申请符合法定条件、拟准予行政许可的，应出具准予行政许可的书面决定。准予行政许可的书面决定应载明名称、出具单位、被许可人姓名或名称、行政许可事项、颁发日期、有效期（如有）等；</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（2）申请不符合法定条件、拟不予行政许可的，应出具不予行政许可决定书，并说明不予行政许可的理由，告知申请人享有依法申请行政复议的权利。</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66F9A" w:rsidRDefault="00066F9A" w:rsidP="00066F9A">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066F9A" w:rsidRDefault="00066F9A" w:rsidP="00066F9A">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八、受理和审批时限</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066F9A" w:rsidRDefault="00066F9A" w:rsidP="00066F9A">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20个工作日</w:t>
      </w:r>
    </w:p>
    <w:p w:rsidR="00066F9A" w:rsidRDefault="00066F9A" w:rsidP="00066F9A">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066F9A" w:rsidRDefault="00066F9A" w:rsidP="00066F9A">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lastRenderedPageBreak/>
        <w:t>《国家外汇管理局行政许可实施办法》第十五条外汇局应根据以下要求确保行政许可依法按时完成：</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（一）能当场作出决定的，应当场作出行政许可决定。当场作出行政许可决定的，可不出具行政许可受理通知书；</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066F9A" w:rsidRDefault="00066F9A" w:rsidP="00066F9A">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20个工作日</w:t>
      </w:r>
    </w:p>
    <w:p w:rsidR="00066F9A" w:rsidRDefault="00066F9A" w:rsidP="00066F9A">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九、收费</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066F9A" w:rsidRPr="00B70427" w:rsidRDefault="00066F9A" w:rsidP="00B7042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r w:rsidR="00B70427">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66F9A" w:rsidRDefault="00066F9A" w:rsidP="00066F9A">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十、行政许可证件</w:t>
      </w:r>
    </w:p>
    <w:p w:rsidR="00066F9A" w:rsidRDefault="00066F9A" w:rsidP="00066F9A">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审批结果名称：</w:t>
      </w:r>
      <w:r>
        <w:rPr>
          <w:rFonts w:ascii="方正仿宋_GBK" w:eastAsia="方正仿宋_GBK" w:hAnsi="方正仿宋_GBK" w:cs="方正仿宋_GBK" w:hint="eastAsia"/>
          <w:sz w:val="28"/>
          <w:szCs w:val="28"/>
        </w:rPr>
        <w:t>《境内机构外债签约情况表》《业务登记凭证》</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审批结果的有效期限：</w:t>
      </w:r>
      <w:r>
        <w:rPr>
          <w:rFonts w:ascii="方正仿宋_GBK" w:eastAsia="方正仿宋_GBK" w:hAnsi="方正仿宋_GBK" w:cs="方正仿宋_GBK" w:hint="eastAsia"/>
          <w:sz w:val="28"/>
          <w:szCs w:val="28"/>
        </w:rPr>
        <w:t>当次</w:t>
      </w:r>
    </w:p>
    <w:p w:rsidR="00066F9A" w:rsidRPr="00B70427" w:rsidRDefault="00066F9A" w:rsidP="00B7042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lastRenderedPageBreak/>
        <w:t>4.</w:t>
      </w:r>
      <w:r>
        <w:rPr>
          <w:rFonts w:ascii="Times New Roman" w:eastAsia="仿宋GB2312" w:hAnsi="Times New Roman" w:hint="eastAsia"/>
          <w:b/>
          <w:bCs/>
          <w:sz w:val="28"/>
          <w:szCs w:val="28"/>
        </w:rPr>
        <w:t>规定审批结果有效期限的依据</w:t>
      </w:r>
      <w:r w:rsidR="00B70427">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066F9A" w:rsidRPr="00B70427" w:rsidRDefault="00066F9A" w:rsidP="00B7042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sidR="00B70427">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否</w:t>
      </w:r>
    </w:p>
    <w:p w:rsidR="00066F9A" w:rsidRPr="00B70427" w:rsidRDefault="00066F9A" w:rsidP="00B7042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r w:rsidR="00B70427">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66F9A" w:rsidRPr="00B70427" w:rsidRDefault="00066F9A" w:rsidP="00B7042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sidR="00B70427">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全国</w:t>
      </w:r>
    </w:p>
    <w:p w:rsidR="00066F9A" w:rsidRPr="00B70427" w:rsidRDefault="00066F9A" w:rsidP="00B7042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sidR="00B70427">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66F9A" w:rsidRDefault="00066F9A" w:rsidP="00066F9A">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十一、行政许可数量限制</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066F9A" w:rsidRDefault="00066F9A" w:rsidP="00066F9A">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066F9A" w:rsidRDefault="00066F9A" w:rsidP="00066F9A">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066F9A" w:rsidRPr="00B70427" w:rsidRDefault="00066F9A" w:rsidP="00B70427">
      <w:pPr>
        <w:spacing w:line="600" w:lineRule="exact"/>
        <w:ind w:firstLineChars="200" w:firstLine="562"/>
        <w:jc w:val="left"/>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sidR="00B70427">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66F9A" w:rsidRDefault="00066F9A" w:rsidP="00066F9A">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十二、行政许可后年检</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066F9A" w:rsidRPr="00B70427" w:rsidRDefault="00066F9A" w:rsidP="00B7042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sidR="00B70427">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66F9A" w:rsidRDefault="00066F9A" w:rsidP="00066F9A">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066F9A" w:rsidRPr="00B70427" w:rsidRDefault="00066F9A" w:rsidP="00B70427">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sidR="00B70427">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66F9A" w:rsidRDefault="00066F9A" w:rsidP="00066F9A">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066F9A" w:rsidRDefault="00066F9A" w:rsidP="00066F9A">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十三、行政许可后年报</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66F9A" w:rsidRPr="00B70427" w:rsidRDefault="00066F9A" w:rsidP="00B70427">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r w:rsidR="00B70427">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66F9A" w:rsidRDefault="00066F9A" w:rsidP="00066F9A">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66F9A" w:rsidRDefault="00066F9A" w:rsidP="00066F9A">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十四、监管主体</w:t>
      </w:r>
    </w:p>
    <w:p w:rsidR="00066F9A" w:rsidRDefault="00066F9A" w:rsidP="00066F9A">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国家外汇局及其分局</w:t>
      </w:r>
    </w:p>
    <w:p w:rsidR="00066F9A" w:rsidRDefault="00066F9A" w:rsidP="00066F9A">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十五、备注</w:t>
      </w:r>
    </w:p>
    <w:p w:rsidR="00951B22" w:rsidRPr="00066F9A" w:rsidRDefault="00951B22"/>
    <w:sectPr w:rsidR="00951B22" w:rsidRPr="00066F9A" w:rsidSect="009F56F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076E" w:rsidRDefault="0096076E" w:rsidP="00066F9A">
      <w:r>
        <w:separator/>
      </w:r>
    </w:p>
  </w:endnote>
  <w:endnote w:type="continuationSeparator" w:id="1">
    <w:p w:rsidR="0096076E" w:rsidRDefault="0096076E" w:rsidP="00066F9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GB2312">
    <w:altName w:val="仿宋"/>
    <w:charset w:val="86"/>
    <w:family w:val="roman"/>
    <w:pitch w:val="default"/>
    <w:sig w:usb0="00000000" w:usb1="00000000" w:usb2="00000000" w:usb3="00000000" w:csb0="00040001" w:csb1="00000000"/>
  </w:font>
  <w:font w:name="方正仿宋_GBK">
    <w:altName w:val="微软雅黑"/>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076E" w:rsidRDefault="0096076E" w:rsidP="00066F9A">
      <w:r>
        <w:separator/>
      </w:r>
    </w:p>
  </w:footnote>
  <w:footnote w:type="continuationSeparator" w:id="1">
    <w:p w:rsidR="0096076E" w:rsidRDefault="0096076E" w:rsidP="00066F9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66F9A"/>
    <w:rsid w:val="000372EC"/>
    <w:rsid w:val="00066F9A"/>
    <w:rsid w:val="000D3017"/>
    <w:rsid w:val="002703BE"/>
    <w:rsid w:val="00275CA5"/>
    <w:rsid w:val="002A1E66"/>
    <w:rsid w:val="003B3A73"/>
    <w:rsid w:val="008762F9"/>
    <w:rsid w:val="00951B22"/>
    <w:rsid w:val="0096076E"/>
    <w:rsid w:val="009F56FC"/>
    <w:rsid w:val="00B70427"/>
    <w:rsid w:val="00C863A9"/>
    <w:rsid w:val="00DE617A"/>
    <w:rsid w:val="00EA2D68"/>
    <w:rsid w:val="00F345F2"/>
    <w:rsid w:val="00F734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6F9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66F9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66F9A"/>
    <w:rPr>
      <w:sz w:val="18"/>
      <w:szCs w:val="18"/>
    </w:rPr>
  </w:style>
  <w:style w:type="paragraph" w:styleId="a4">
    <w:name w:val="footer"/>
    <w:basedOn w:val="a"/>
    <w:link w:val="Char0"/>
    <w:uiPriority w:val="99"/>
    <w:semiHidden/>
    <w:unhideWhenUsed/>
    <w:rsid w:val="00066F9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066F9A"/>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C6A42A-E470-4D38-8452-773DBE4FF1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533</Words>
  <Characters>3040</Characters>
  <Application>Microsoft Office Word</Application>
  <DocSecurity>0</DocSecurity>
  <Lines>25</Lines>
  <Paragraphs>7</Paragraphs>
  <ScaleCrop>false</ScaleCrop>
  <Company/>
  <LinksUpToDate>false</LinksUpToDate>
  <CharactersWithSpaces>3566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kylin</dc:creator>
  <cp:lastModifiedBy>kylin</cp:lastModifiedBy>
  <cp:revision>8</cp:revision>
  <dcterms:created xsi:type="dcterms:W3CDTF">2023-09-28T09:30:00Z</dcterms:created>
  <dcterms:modified xsi:type="dcterms:W3CDTF">2023-12-07T09:29:00Z</dcterms:modified>
</cp:coreProperties>
</file>