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D42" w:rsidRDefault="000F4D42" w:rsidP="000F4D42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bookmarkStart w:id="0" w:name="_Toc1483548945_WPSOffice_Level1"/>
      <w:r>
        <w:rPr>
          <w:rFonts w:ascii="方正小标宋_GBK" w:eastAsia="方正小标宋_GBK" w:hAnsi="方正小标宋_GBK" w:cs="方正小标宋_GBK"/>
          <w:sz w:val="40"/>
          <w:szCs w:val="40"/>
        </w:rPr>
        <w:t>政策性银行、全国性商业银行总行即期结售汇业务市场准入审批</w:t>
      </w:r>
      <w:bookmarkEnd w:id="0"/>
    </w:p>
    <w:p w:rsidR="000F4D42" w:rsidRDefault="000F4D42" w:rsidP="000F4D42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" w:name="_Toc2110019652_WPSOffice_Level1"/>
      <w:r>
        <w:rPr>
          <w:rFonts w:ascii="Times New Roman" w:eastAsia="黑体" w:hAnsi="Times New Roman" w:hint="eastAsia"/>
          <w:sz w:val="28"/>
          <w:szCs w:val="28"/>
        </w:rPr>
        <w:t>基本要素</w:t>
      </w:r>
      <w:bookmarkEnd w:id="1"/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行政许可事项名称</w:t>
      </w:r>
    </w:p>
    <w:p w:rsidR="000F4D42" w:rsidRDefault="000F4D42" w:rsidP="000F4D42">
      <w:pPr>
        <w:ind w:left="420" w:firstLine="42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政策性银行、全国性商业银行总行即期结售汇业务市场准入审批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2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对应政务服务实施清单事项名称</w:t>
      </w:r>
    </w:p>
    <w:p w:rsidR="000F4D42" w:rsidRDefault="000F4D42" w:rsidP="000F4D42">
      <w:pPr>
        <w:ind w:left="420" w:firstLine="42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政策性银行、全国性商业银行总行申请即期结售汇业务市场准入</w:t>
      </w:r>
    </w:p>
    <w:p w:rsidR="000F4D42" w:rsidRDefault="000F4D42" w:rsidP="000F4D42">
      <w:pPr>
        <w:spacing w:line="360" w:lineRule="auto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3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设定依据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《中华人民共和国外汇管理条例》第二十四条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4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实施依据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（1）《银行办理结售汇业务管理办法》（中国人民银行令2014年2号）第二条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（2）《银行办理结售汇业务管理办法》（中国人民银行令2014年2号）第三条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（3）《银行办理结售汇业务管理办法实施细则》（汇发〔2014〕53号文印发）第六条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（4）《银行办理结售汇业务管理办法实施细则》（汇发〔2014〕53号文印发）第九条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（5）《国家外汇管理局行政许可实施办法》（国家外汇管理局公告2021年第1号）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监管依据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《中华人民共和国外汇管理条例》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6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权力来源：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法定本级行使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7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实施机关：国家外汇管理局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8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实施主体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国家外汇管理局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9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实施主体性质：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法定机关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0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实施主体编码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11100000000014453C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1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审批层级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国家级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2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行使层级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国家级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3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是否由审批机关受理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4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/>
          <w:b/>
          <w:bCs/>
          <w:sz w:val="28"/>
          <w:szCs w:val="28"/>
        </w:rPr>
        <w:t>受理层级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国家级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是否存在初审环节：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GB2312" w:hAnsi="Times New Roman"/>
          <w:b/>
          <w:bCs/>
          <w:sz w:val="28"/>
          <w:szCs w:val="28"/>
        </w:rPr>
        <w:t>6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初审层级：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2" w:name="_Toc183562643_WPSOffice_Level1"/>
      <w:r>
        <w:rPr>
          <w:rFonts w:ascii="Times New Roman" w:eastAsia="黑体" w:hAnsi="Times New Roman"/>
          <w:sz w:val="28"/>
          <w:szCs w:val="28"/>
        </w:rPr>
        <w:t>二、</w:t>
      </w:r>
      <w:r>
        <w:rPr>
          <w:rFonts w:ascii="Times New Roman" w:eastAsia="黑体" w:hAnsi="Times New Roman" w:hint="eastAsia"/>
          <w:sz w:val="28"/>
          <w:szCs w:val="28"/>
        </w:rPr>
        <w:t>行政许可事项类型</w:t>
      </w:r>
      <w:bookmarkEnd w:id="2"/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条件型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3" w:name="_Toc1156531769_WPSOffice_Level1"/>
      <w:r>
        <w:rPr>
          <w:rFonts w:ascii="Times New Roman" w:eastAsia="黑体" w:hAnsi="Times New Roman"/>
          <w:sz w:val="28"/>
          <w:szCs w:val="28"/>
        </w:rPr>
        <w:t>三、</w:t>
      </w:r>
      <w:r>
        <w:rPr>
          <w:rFonts w:ascii="Times New Roman" w:eastAsia="黑体" w:hAnsi="Times New Roman" w:hint="eastAsia"/>
          <w:sz w:val="28"/>
          <w:szCs w:val="28"/>
        </w:rPr>
        <w:t>行政许可条件</w:t>
      </w:r>
      <w:bookmarkEnd w:id="3"/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准予行政许可的条件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（1）具有金融业务资格。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（2）具备完善的业务管理制度。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（3）具备办理业务所必需的软硬件设备。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（4）拥有具备相应业务工作经验的高级管理人员和业务人员。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（5）银行需银行业监督管理部门批准外汇业务经营资格的，还应具备相应的外汇业务经营资格。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规定行政许可条件的依据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《银行办理结售汇业务管理办法实施细则》（汇发〔2014〕53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号文印发）第六条银行申请办理即期结售汇业务，应当具备下列条件：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（一）具有金融业务资格。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（二）具备完善的业务管理制度。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（三）具备办理业务所必需的软硬件设备。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（四）拥有具备相应业务工作经验的高级管理人员和业务人员。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银行需银行业监督管理部门批准外汇业务经营资格的，还应具备相应的外汇业务经营资格。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受理条件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申请材料齐全、符合法定形式。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4" w:name="_Toc1882409660_WPSOffice_Level1"/>
      <w:r>
        <w:rPr>
          <w:rFonts w:ascii="Times New Roman" w:eastAsia="黑体" w:hAnsi="Times New Roman"/>
          <w:sz w:val="28"/>
          <w:szCs w:val="28"/>
        </w:rPr>
        <w:t>四、行政许可服务对象类型</w:t>
      </w:r>
      <w:r>
        <w:rPr>
          <w:rFonts w:ascii="Times New Roman" w:eastAsia="黑体" w:hAnsi="Times New Roman" w:hint="eastAsia"/>
          <w:sz w:val="28"/>
          <w:szCs w:val="28"/>
        </w:rPr>
        <w:t>与改革举措</w:t>
      </w:r>
      <w:bookmarkEnd w:id="4"/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服务对象类型：</w:t>
      </w:r>
      <w:r>
        <w:rPr>
          <w:rFonts w:ascii="方正仿宋_GBK" w:eastAsia="方正仿宋_GBK" w:hAnsi="方正仿宋_GBK" w:cs="方正仿宋_GBK"/>
          <w:sz w:val="28"/>
          <w:szCs w:val="28"/>
        </w:rPr>
        <w:t>企业法人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面向自然人事项主题分类：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面向法人事项主题分类：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准营准办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面向自然人地方特色主题分类：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面向法人地方特色主题分类：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是否为涉企许可事项：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涉企经营许可事项名称：</w:t>
      </w:r>
      <w:r>
        <w:rPr>
          <w:rFonts w:ascii="方正仿宋_GBK" w:eastAsia="方正仿宋_GBK" w:hAnsi="方正仿宋_GBK" w:cs="方正仿宋_GBK"/>
          <w:sz w:val="28"/>
          <w:szCs w:val="28"/>
        </w:rPr>
        <w:t>银行、农村信用社、兑换机构及非金融机构等结汇、售汇业务市场准入、退出审批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许可证件名称：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改革方式：</w:t>
      </w:r>
      <w:r>
        <w:rPr>
          <w:rFonts w:ascii="方正仿宋_GBK" w:eastAsia="方正仿宋_GBK" w:hAnsi="方正仿宋_GBK" w:cs="方正仿宋_GBK"/>
          <w:sz w:val="28"/>
          <w:szCs w:val="28"/>
        </w:rPr>
        <w:t>优化审批服务</w:t>
      </w:r>
    </w:p>
    <w:p w:rsidR="000F4D42" w:rsidRDefault="000F4D42" w:rsidP="000F4D42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具体改革举措</w:t>
      </w:r>
    </w:p>
    <w:p w:rsidR="000F4D42" w:rsidRDefault="000F4D42" w:rsidP="000F4D42">
      <w:pPr>
        <w:spacing w:line="54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实现预审、审批进度和结果网上查询，推动实现全程网上办理。</w:t>
      </w:r>
    </w:p>
    <w:p w:rsidR="000F4D42" w:rsidRDefault="000F4D42" w:rsidP="000F4D42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加强事中事后监管措施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1.开展“双随机、一公开”监管，依法查处违规行为，适时公开相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关案例。2.依法及时处理投诉举报。3.开展数据统计与监测，掌握外汇业务情况。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5" w:name="_Toc739476006_WPSOffice_Level1"/>
      <w:r>
        <w:rPr>
          <w:rFonts w:ascii="Times New Roman" w:eastAsia="黑体" w:hAnsi="Times New Roman"/>
          <w:sz w:val="28"/>
          <w:szCs w:val="28"/>
        </w:rPr>
        <w:t>五、</w:t>
      </w:r>
      <w:r>
        <w:rPr>
          <w:rFonts w:ascii="Times New Roman" w:eastAsia="黑体" w:hAnsi="Times New Roman" w:hint="eastAsia"/>
          <w:sz w:val="28"/>
          <w:szCs w:val="28"/>
        </w:rPr>
        <w:t>申请材料</w:t>
      </w:r>
      <w:bookmarkEnd w:id="5"/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申请材料名称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办理结售汇业务的申请报告1份。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《金融许可证》复印件1份（需加盖银行公章）。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办理结售汇业务的内部管理规章制度1份（至少包括结售汇业务操作规程、结售汇业务单证管理制度、结售汇业务统计报告制度、结售汇综合头寸管理制度、结售汇业务会计科目和核算办法、结售汇业务内部审计制度和从业人员岗位责任制度、结售汇业务授权管理制度）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具备办理业务所必需的软硬件设备的说明材料1份。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拥有具备相应业务工作经验的高级管理人员和业务人员的说明材料1份。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需要经银行业监督管理部门批准外汇业务经营资格的，还应提交外汇业务许可文件复印件1份（需加盖银行公章）。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规定申请材料的依据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《银行办理结售汇业务管理办法实施细则》（汇发〔2014〕53号文印发）第九条银行总行申请即期结售汇业务，应提交下列文件和资料：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（一）办理结售汇业务的申请报告。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（二）《金融许可证》复印件。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（三）办理结售汇业务的内部管理规章制度，应至少包括以下内容：结售汇业务操作规程、结售汇业务单证管理制度、结售汇业务统计报告制度、结售汇综合头寸管理制度、结售汇业务会计科目和核算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lastRenderedPageBreak/>
        <w:t>办法、结售汇业务内部审计制度和从业人员岗位责任制度、结售汇业务授权管理制度。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（四）具备办理业务所必需的软硬件设备的说明材料。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（五）拥有具备相应业务工作经验的高级管理人员和业务人员的说明材料。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第九条（六）需要经银行业监督管理部门批准外汇业务经营资格的，还应提交外汇业务许可文件的复印件。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6" w:name="_Toc1354406813_WPSOffice_Level1"/>
      <w:r>
        <w:rPr>
          <w:rFonts w:ascii="Times New Roman" w:eastAsia="黑体" w:hAnsi="Times New Roman"/>
          <w:sz w:val="28"/>
          <w:szCs w:val="28"/>
        </w:rPr>
        <w:t>六、</w:t>
      </w:r>
      <w:r>
        <w:rPr>
          <w:rFonts w:ascii="Times New Roman" w:eastAsia="黑体" w:hAnsi="Times New Roman" w:hint="eastAsia"/>
          <w:sz w:val="28"/>
          <w:szCs w:val="28"/>
        </w:rPr>
        <w:t>中介服务</w:t>
      </w:r>
      <w:bookmarkEnd w:id="6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有无法定中介服务事项：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设定中介服务事项的依据：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提供中介服务的机构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中介服务事项的收费性质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7" w:name="_Toc2117463924_WPSOffice_Level1"/>
      <w:r>
        <w:rPr>
          <w:rFonts w:ascii="Times New Roman" w:eastAsia="黑体" w:hAnsi="Times New Roman"/>
          <w:sz w:val="28"/>
          <w:szCs w:val="28"/>
        </w:rPr>
        <w:t>七、</w:t>
      </w:r>
      <w:r>
        <w:rPr>
          <w:rFonts w:ascii="Times New Roman" w:eastAsia="黑体" w:hAnsi="Times New Roman" w:hint="eastAsia"/>
          <w:sz w:val="28"/>
          <w:szCs w:val="28"/>
        </w:rPr>
        <w:t>审批程序</w:t>
      </w:r>
      <w:bookmarkEnd w:id="7"/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办理行政许可的程序环节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（1）申请人申请；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（2）审批机构受理/不予受理；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（3）审批机构审查；</w:t>
      </w:r>
    </w:p>
    <w:p w:rsidR="000F4D42" w:rsidRDefault="000F4D42" w:rsidP="000F4D42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（4）决定作出许可决定书/不予许可决定书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规定行政许可程序的依据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《国家外汇管理局行政许可实施办法》（国家外汇管理局公告2021年第1号）第十条外汇局收到行政许可申请后，应区分下列情况分别作出处理：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（一）申请事项属于本局职责范围，但依法不需要取得行政许可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的，应即时告知申请人不受理，出具不予受理行政许可通知书；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5个工作日内作出要求申请人补正材料的决定，出具补正告知书，一次性告知申请人需要补正的全部内容；逾期不告知的，自收到申请材料之日起即为受理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申请人拒不补正，或者自补正告知书送达之日起30日内未能提交全部且符合法定形式的补正材料的，应不予受理，出具不予受理行政许可通知书；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申请材料存在文字笔误等可当场更正的错误的，应允许申请人当场更正，并告知其在修改处签字或盖章确认；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《国家外汇管理局行政许可实施办法》（国家外汇管理局公告2021年第1号）第十四条外汇局对行政许可申请审查后，应区分下列情况分别作出处理：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（二）申请不符合法定条件、拟不予行政许可的，应出具不予行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政许可决定书，并说明不予行政许可的理由，告知申请人享有依法申请行政复议的权利。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是否需要现场勘验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部分情况下开展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是否需要组织听证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是否需要招标、拍卖、挂牌交易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是否需要检验、检测、检疫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是否需要鉴定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是否需要专家评审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是否需要向社会公示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是否实行告知承诺办理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审批机关是否委托服务机构开展技术性服务：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8" w:name="_Toc51933448_WPSOffice_Level1"/>
      <w:r>
        <w:rPr>
          <w:rFonts w:ascii="Times New Roman" w:eastAsia="黑体" w:hAnsi="Times New Roman"/>
          <w:sz w:val="28"/>
          <w:szCs w:val="28"/>
        </w:rPr>
        <w:t>八、</w:t>
      </w:r>
      <w:r>
        <w:rPr>
          <w:rFonts w:ascii="Times New Roman" w:eastAsia="黑体" w:hAnsi="Times New Roman" w:hint="eastAsia"/>
          <w:sz w:val="28"/>
          <w:szCs w:val="28"/>
        </w:rPr>
        <w:t>受理和审批时限</w:t>
      </w:r>
      <w:bookmarkEnd w:id="8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承诺受理时限：</w:t>
      </w:r>
      <w:r>
        <w:rPr>
          <w:rFonts w:ascii="方正仿宋_GBK" w:eastAsia="方正仿宋_GBK" w:hAnsi="方正仿宋_GBK" w:cs="方正仿宋_GBK"/>
          <w:sz w:val="28"/>
          <w:szCs w:val="28"/>
        </w:rPr>
        <w:t>5个工作日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法定审批时限：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20工作日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规定法定审批时限依据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《国家外汇管理局行政许可实施办法》（国家外汇管理局公告2021年第1号）第十五条外汇局应根据以下要求确保行政许可依法按时完成：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（二）不能当场作出决定的，应自受理之日起20个工作日内作出决定；20个工作日内不能作出决定的，经本级外汇局局长或者主管副局长批准，可延长10个工作日，并向申请人出具延长行政许可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办理期限通知书，说明延长期限的理由。行政许可办理期限只能延长一次。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 w:rsidR="000F4D42" w:rsidRDefault="000F4D42" w:rsidP="000F4D4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各级外汇局对行政许可办理时限具有对外承诺的，应按照其承诺的时限完成；对外承诺的时限应短于20个工作日。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承诺审批时限：</w:t>
      </w:r>
      <w:r>
        <w:rPr>
          <w:rFonts w:ascii="方正仿宋_GBK" w:eastAsia="方正仿宋_GBK" w:hAnsi="方正仿宋_GBK" w:cs="方正仿宋_GBK"/>
          <w:sz w:val="28"/>
          <w:szCs w:val="28"/>
        </w:rPr>
        <w:t>20工作日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办件类型：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承诺件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9" w:name="_Toc227886611_WPSOffice_Level1"/>
      <w:r>
        <w:rPr>
          <w:rFonts w:ascii="Times New Roman" w:eastAsia="黑体" w:hAnsi="Times New Roman"/>
          <w:sz w:val="28"/>
          <w:szCs w:val="28"/>
        </w:rPr>
        <w:t>九、</w:t>
      </w:r>
      <w:r>
        <w:rPr>
          <w:rFonts w:ascii="Times New Roman" w:eastAsia="黑体" w:hAnsi="Times New Roman" w:hint="eastAsia"/>
          <w:sz w:val="28"/>
          <w:szCs w:val="28"/>
        </w:rPr>
        <w:t>收费</w:t>
      </w:r>
      <w:bookmarkEnd w:id="9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收费项目的名称、收费项目的标准、设定收费项目的依据、规定收费标准的依据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0" w:name="_Toc2025581585_WPSOffice_Level1"/>
      <w:r>
        <w:rPr>
          <w:rFonts w:ascii="Times New Roman" w:eastAsia="黑体" w:hAnsi="Times New Roman"/>
          <w:sz w:val="28"/>
          <w:szCs w:val="28"/>
        </w:rPr>
        <w:t>十、</w:t>
      </w:r>
      <w:r>
        <w:rPr>
          <w:rFonts w:ascii="Times New Roman" w:eastAsia="黑体" w:hAnsi="Times New Roman" w:hint="eastAsia"/>
          <w:sz w:val="28"/>
          <w:szCs w:val="28"/>
        </w:rPr>
        <w:t>行政许可证件</w:t>
      </w:r>
      <w:bookmarkEnd w:id="10"/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审批结果类型：</w:t>
      </w:r>
      <w:r>
        <w:rPr>
          <w:rFonts w:ascii="方正仿宋_GBK" w:eastAsia="方正仿宋_GBK" w:hAnsi="方正仿宋_GBK" w:cs="方正仿宋_GBK"/>
          <w:sz w:val="28"/>
          <w:szCs w:val="28"/>
        </w:rPr>
        <w:t>批文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行政许可证件名称：</w:t>
      </w:r>
      <w:r>
        <w:rPr>
          <w:rFonts w:ascii="方正仿宋_GBK" w:eastAsia="方正仿宋_GBK" w:hAnsi="方正仿宋_GBK" w:cs="方正仿宋_GBK"/>
          <w:sz w:val="28"/>
          <w:szCs w:val="28"/>
        </w:rPr>
        <w:t>批准文件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行政许可证件的有效期限：</w:t>
      </w:r>
      <w:r>
        <w:rPr>
          <w:rFonts w:ascii="方正仿宋_GBK" w:eastAsia="方正仿宋_GBK" w:hAnsi="方正仿宋_GBK" w:cs="方正仿宋_GBK"/>
          <w:sz w:val="28"/>
          <w:szCs w:val="28"/>
        </w:rPr>
        <w:t>无期限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规定行政许可证件有效期限的依据：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是否需要办理审批结果变更手续：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办理审批结果变更手续的要求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是否需要办理审批结果延续手续：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32"/>
          <w:szCs w:val="32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办理审批结果延续手续的要求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审批结果的有效地域范围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全国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规定审批结果有效地域范围的依据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1" w:name="_Toc1921369541_WPSOffice_Level1"/>
      <w:r>
        <w:rPr>
          <w:rFonts w:ascii="Times New Roman" w:eastAsia="黑体" w:hAnsi="Times New Roman"/>
          <w:sz w:val="28"/>
          <w:szCs w:val="28"/>
        </w:rPr>
        <w:lastRenderedPageBreak/>
        <w:t>十一、</w:t>
      </w:r>
      <w:r>
        <w:rPr>
          <w:rFonts w:ascii="Times New Roman" w:eastAsia="黑体" w:hAnsi="Times New Roman" w:hint="eastAsia"/>
          <w:sz w:val="28"/>
          <w:szCs w:val="28"/>
        </w:rPr>
        <w:t>行政许可数量限制</w:t>
      </w:r>
      <w:bookmarkEnd w:id="11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有无行政许可数量限制：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在数量限制条件下实施行政许可的方式：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jc w:val="left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规定在数量限制条件下实施行政许可方式的依据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2" w:name="_Toc1460176221_WPSOffice_Level1"/>
      <w:r>
        <w:rPr>
          <w:rFonts w:ascii="Times New Roman" w:eastAsia="黑体" w:hAnsi="Times New Roman"/>
          <w:sz w:val="28"/>
          <w:szCs w:val="28"/>
        </w:rPr>
        <w:t>十二、</w:t>
      </w:r>
      <w:r>
        <w:rPr>
          <w:rFonts w:ascii="Times New Roman" w:eastAsia="黑体" w:hAnsi="Times New Roman" w:hint="eastAsia"/>
          <w:sz w:val="28"/>
          <w:szCs w:val="28"/>
        </w:rPr>
        <w:t>行政许可后年检</w:t>
      </w:r>
      <w:bookmarkEnd w:id="12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有无年检要求：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设定年检要求的依据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年检是否要求报送材料：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年检报送材料名称：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年检收费项目的名称、年检收费项目的标准、设定年检收费项目的依据、规定年检项目收费标准的依据</w:t>
      </w:r>
      <w:r>
        <w:rPr>
          <w:rFonts w:ascii="Times New Roman" w:eastAsia="仿宋GB2312" w:hAnsi="Times New Roman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通过年检的证明或者标志：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3" w:name="_Toc1752614849_WPSOffice_Level1"/>
      <w:r>
        <w:rPr>
          <w:rFonts w:ascii="Times New Roman" w:eastAsia="黑体" w:hAnsi="Times New Roman"/>
          <w:sz w:val="28"/>
          <w:szCs w:val="28"/>
        </w:rPr>
        <w:t>十三、</w:t>
      </w:r>
      <w:r>
        <w:rPr>
          <w:rFonts w:ascii="Times New Roman" w:eastAsia="黑体" w:hAnsi="Times New Roman" w:hint="eastAsia"/>
          <w:sz w:val="28"/>
          <w:szCs w:val="28"/>
        </w:rPr>
        <w:t>行政许可后年报</w:t>
      </w:r>
      <w:bookmarkEnd w:id="13"/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有无年报要求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年报报送材料名称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设定年报要求的依据：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年报周期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4" w:name="_Toc78348191_WPSOffice_Level1"/>
      <w:r>
        <w:rPr>
          <w:rFonts w:ascii="Times New Roman" w:eastAsia="黑体" w:hAnsi="Times New Roman"/>
          <w:sz w:val="28"/>
          <w:szCs w:val="28"/>
        </w:rPr>
        <w:t>十四、</w:t>
      </w:r>
      <w:r>
        <w:rPr>
          <w:rFonts w:ascii="Times New Roman" w:eastAsia="黑体" w:hAnsi="Times New Roman" w:hint="eastAsia"/>
          <w:sz w:val="28"/>
          <w:szCs w:val="28"/>
        </w:rPr>
        <w:t>监管主体</w:t>
      </w:r>
      <w:bookmarkEnd w:id="14"/>
    </w:p>
    <w:p w:rsidR="000F4D42" w:rsidRDefault="000F4D42" w:rsidP="000F4D42">
      <w:pPr>
        <w:spacing w:line="540" w:lineRule="exact"/>
        <w:ind w:firstLine="420"/>
        <w:outlineLvl w:val="1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国家外汇局及其分支局</w:t>
      </w:r>
    </w:p>
    <w:p w:rsidR="000F4D42" w:rsidRDefault="000F4D42" w:rsidP="000F4D42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5" w:name="_Toc1261754176_WPSOffice_Level1"/>
      <w:r>
        <w:rPr>
          <w:rFonts w:ascii="Times New Roman" w:eastAsia="黑体" w:hAnsi="Times New Roman" w:hint="eastAsia"/>
          <w:sz w:val="28"/>
          <w:szCs w:val="28"/>
        </w:rPr>
        <w:t>十五、业务办理信息</w:t>
      </w:r>
      <w:bookmarkEnd w:id="15"/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是否通办：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通办业务模式：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跨省通办事项名称：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是否是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35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号文中的跨省通办事项：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是否网办：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6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网上办理深度：</w:t>
      </w:r>
      <w:r>
        <w:rPr>
          <w:rFonts w:ascii="方正仿宋_GBK" w:eastAsia="方正仿宋_GBK" w:hAnsi="方正仿宋_GBK" w:cs="方正仿宋_GBK"/>
          <w:sz w:val="28"/>
          <w:szCs w:val="28"/>
        </w:rPr>
        <w:t>互联网收件,互联网预审,互联网受理,互联网办理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7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网办地址：</w:t>
      </w:r>
      <w:r>
        <w:rPr>
          <w:rFonts w:ascii="方正仿宋_GBK" w:eastAsia="方正仿宋_GBK" w:hAnsi="方正仿宋_GBK" w:cs="方正仿宋_GBK"/>
          <w:sz w:val="28"/>
          <w:szCs w:val="28"/>
        </w:rPr>
        <w:t>http://zwfw.safe.gov.cn/asone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8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移动端是否对接单点登录：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9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计算机端是否对接单点登录：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10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计算机端在线办理跳转地址：</w:t>
      </w:r>
      <w:r>
        <w:rPr>
          <w:rFonts w:ascii="方正仿宋_GBK" w:eastAsia="方正仿宋_GBK" w:hAnsi="方正仿宋_GBK" w:cs="方正仿宋_GBK"/>
          <w:sz w:val="28"/>
          <w:szCs w:val="28"/>
        </w:rPr>
        <w:t>http://zwfw.safe.gov.cn/zwfw/onlineBusiness/apply_org.html?code=00017111202101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11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到办事现场次数：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0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12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是否进驻政务大厅：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13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办理地点：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北京市西城区金融大街30号国家外汇管理局</w:t>
      </w:r>
    </w:p>
    <w:p w:rsidR="000F4D42" w:rsidRDefault="000F4D42" w:rsidP="000F4D42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14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办理时间：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工作日8：00-11：30；13：30-17：00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咨询方式：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（010）68402271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16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监督投诉方式：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（010）68402345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17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是否支持网上支付：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0F4D42" w:rsidRDefault="000F4D42" w:rsidP="000F4D4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/>
          <w:b/>
          <w:bCs/>
          <w:sz w:val="28"/>
          <w:szCs w:val="28"/>
        </w:rPr>
        <w:t>18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是否支持物流快递：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611B3" w:rsidRPr="000F4D42" w:rsidRDefault="00A611B3"/>
    <w:sectPr w:rsidR="00A611B3" w:rsidRPr="000F4D42" w:rsidSect="00A61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仿宋"/>
    <w:charset w:val="00"/>
    <w:family w:val="auto"/>
    <w:pitch w:val="default"/>
    <w:sig w:usb0="00000000" w:usb1="38CF7CFA" w:usb2="00000016" w:usb3="00000000" w:csb0="0004000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F30B91"/>
    <w:multiLevelType w:val="singleLevel"/>
    <w:tmpl w:val="EFF30B91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4D42"/>
    <w:rsid w:val="00004ADD"/>
    <w:rsid w:val="00004CB4"/>
    <w:rsid w:val="00011B32"/>
    <w:rsid w:val="000147A4"/>
    <w:rsid w:val="000320FD"/>
    <w:rsid w:val="00034268"/>
    <w:rsid w:val="00042226"/>
    <w:rsid w:val="000461C2"/>
    <w:rsid w:val="000667EF"/>
    <w:rsid w:val="000734C4"/>
    <w:rsid w:val="00073862"/>
    <w:rsid w:val="00075B3D"/>
    <w:rsid w:val="00080E1F"/>
    <w:rsid w:val="0009625B"/>
    <w:rsid w:val="000A1868"/>
    <w:rsid w:val="000A7AAD"/>
    <w:rsid w:val="000B495F"/>
    <w:rsid w:val="000B53A7"/>
    <w:rsid w:val="000C7505"/>
    <w:rsid w:val="000C7A79"/>
    <w:rsid w:val="000D5409"/>
    <w:rsid w:val="000D70C6"/>
    <w:rsid w:val="000D70D4"/>
    <w:rsid w:val="000E0C98"/>
    <w:rsid w:val="000E39E8"/>
    <w:rsid w:val="000E51CD"/>
    <w:rsid w:val="000F1802"/>
    <w:rsid w:val="000F4D42"/>
    <w:rsid w:val="000F65F0"/>
    <w:rsid w:val="0012620A"/>
    <w:rsid w:val="0012781B"/>
    <w:rsid w:val="001773AA"/>
    <w:rsid w:val="00180369"/>
    <w:rsid w:val="0019377B"/>
    <w:rsid w:val="001977BF"/>
    <w:rsid w:val="001A294A"/>
    <w:rsid w:val="001A30CF"/>
    <w:rsid w:val="001B4201"/>
    <w:rsid w:val="001B59AD"/>
    <w:rsid w:val="001C2FFD"/>
    <w:rsid w:val="001C36EE"/>
    <w:rsid w:val="001D4745"/>
    <w:rsid w:val="001E1A55"/>
    <w:rsid w:val="001E1B8B"/>
    <w:rsid w:val="001E31F1"/>
    <w:rsid w:val="001E604C"/>
    <w:rsid w:val="001F2CB9"/>
    <w:rsid w:val="002019C3"/>
    <w:rsid w:val="002051CB"/>
    <w:rsid w:val="00206137"/>
    <w:rsid w:val="00211FE0"/>
    <w:rsid w:val="002325AB"/>
    <w:rsid w:val="00274452"/>
    <w:rsid w:val="00293890"/>
    <w:rsid w:val="00295D8F"/>
    <w:rsid w:val="00296169"/>
    <w:rsid w:val="002B3D04"/>
    <w:rsid w:val="002B5427"/>
    <w:rsid w:val="002B7EEB"/>
    <w:rsid w:val="002C3060"/>
    <w:rsid w:val="002C3A8A"/>
    <w:rsid w:val="002D24B6"/>
    <w:rsid w:val="002D79C1"/>
    <w:rsid w:val="002E1319"/>
    <w:rsid w:val="0033087C"/>
    <w:rsid w:val="00333D38"/>
    <w:rsid w:val="0033486C"/>
    <w:rsid w:val="00343268"/>
    <w:rsid w:val="00344F4D"/>
    <w:rsid w:val="003476EA"/>
    <w:rsid w:val="003614AC"/>
    <w:rsid w:val="00373744"/>
    <w:rsid w:val="00374D53"/>
    <w:rsid w:val="00377734"/>
    <w:rsid w:val="00380919"/>
    <w:rsid w:val="003A4F9F"/>
    <w:rsid w:val="003A5D8F"/>
    <w:rsid w:val="003A6C95"/>
    <w:rsid w:val="003D034B"/>
    <w:rsid w:val="003D6201"/>
    <w:rsid w:val="003F0D61"/>
    <w:rsid w:val="003F1128"/>
    <w:rsid w:val="00402D30"/>
    <w:rsid w:val="004048CC"/>
    <w:rsid w:val="0040626A"/>
    <w:rsid w:val="00406CAA"/>
    <w:rsid w:val="004145E4"/>
    <w:rsid w:val="0043109F"/>
    <w:rsid w:val="0043748E"/>
    <w:rsid w:val="004462ED"/>
    <w:rsid w:val="00457838"/>
    <w:rsid w:val="00460043"/>
    <w:rsid w:val="00470C77"/>
    <w:rsid w:val="004772BA"/>
    <w:rsid w:val="00480900"/>
    <w:rsid w:val="00482CD8"/>
    <w:rsid w:val="00483FF2"/>
    <w:rsid w:val="00496C79"/>
    <w:rsid w:val="004A454A"/>
    <w:rsid w:val="004C5B29"/>
    <w:rsid w:val="004D62E2"/>
    <w:rsid w:val="004D788F"/>
    <w:rsid w:val="004E767E"/>
    <w:rsid w:val="004F193F"/>
    <w:rsid w:val="004F1B79"/>
    <w:rsid w:val="004F646F"/>
    <w:rsid w:val="005039C2"/>
    <w:rsid w:val="00507962"/>
    <w:rsid w:val="00530C80"/>
    <w:rsid w:val="0053631D"/>
    <w:rsid w:val="00543C10"/>
    <w:rsid w:val="00550D3D"/>
    <w:rsid w:val="005529FD"/>
    <w:rsid w:val="00576490"/>
    <w:rsid w:val="0058204B"/>
    <w:rsid w:val="0058521B"/>
    <w:rsid w:val="00587CAD"/>
    <w:rsid w:val="00591550"/>
    <w:rsid w:val="00593C37"/>
    <w:rsid w:val="00594A81"/>
    <w:rsid w:val="005A1B2C"/>
    <w:rsid w:val="005A24ED"/>
    <w:rsid w:val="005D209E"/>
    <w:rsid w:val="005F5AEE"/>
    <w:rsid w:val="00601BA5"/>
    <w:rsid w:val="00606D96"/>
    <w:rsid w:val="006173D3"/>
    <w:rsid w:val="0062096A"/>
    <w:rsid w:val="00633FB5"/>
    <w:rsid w:val="00635DB2"/>
    <w:rsid w:val="00650B0D"/>
    <w:rsid w:val="0067696E"/>
    <w:rsid w:val="006807B2"/>
    <w:rsid w:val="00684049"/>
    <w:rsid w:val="00684431"/>
    <w:rsid w:val="00687534"/>
    <w:rsid w:val="0069781D"/>
    <w:rsid w:val="006B150F"/>
    <w:rsid w:val="006B3D5C"/>
    <w:rsid w:val="006C4CF3"/>
    <w:rsid w:val="006C63E6"/>
    <w:rsid w:val="006C6F26"/>
    <w:rsid w:val="006C72D1"/>
    <w:rsid w:val="006E5103"/>
    <w:rsid w:val="007139EC"/>
    <w:rsid w:val="00722D16"/>
    <w:rsid w:val="007306A2"/>
    <w:rsid w:val="00737E2A"/>
    <w:rsid w:val="0074179F"/>
    <w:rsid w:val="00753EE5"/>
    <w:rsid w:val="0075699C"/>
    <w:rsid w:val="00782CC3"/>
    <w:rsid w:val="007A14E4"/>
    <w:rsid w:val="007A33AC"/>
    <w:rsid w:val="007B180C"/>
    <w:rsid w:val="007B1E41"/>
    <w:rsid w:val="007C4BCC"/>
    <w:rsid w:val="007D055A"/>
    <w:rsid w:val="007D3641"/>
    <w:rsid w:val="007D4377"/>
    <w:rsid w:val="007D6A8B"/>
    <w:rsid w:val="007E4FE5"/>
    <w:rsid w:val="007E5D50"/>
    <w:rsid w:val="007F157F"/>
    <w:rsid w:val="007F1AC3"/>
    <w:rsid w:val="007F1D83"/>
    <w:rsid w:val="007F649F"/>
    <w:rsid w:val="008012AA"/>
    <w:rsid w:val="00810EF7"/>
    <w:rsid w:val="0081174C"/>
    <w:rsid w:val="00813F6B"/>
    <w:rsid w:val="008234E2"/>
    <w:rsid w:val="00866055"/>
    <w:rsid w:val="00873C37"/>
    <w:rsid w:val="00880330"/>
    <w:rsid w:val="00885C16"/>
    <w:rsid w:val="008A0370"/>
    <w:rsid w:val="008A19E3"/>
    <w:rsid w:val="008A5B9C"/>
    <w:rsid w:val="008B1B19"/>
    <w:rsid w:val="008B34A9"/>
    <w:rsid w:val="008C7F4B"/>
    <w:rsid w:val="008D2C1E"/>
    <w:rsid w:val="008D4144"/>
    <w:rsid w:val="008E0C23"/>
    <w:rsid w:val="008F0612"/>
    <w:rsid w:val="008F25E5"/>
    <w:rsid w:val="008F2F8B"/>
    <w:rsid w:val="008F3BB8"/>
    <w:rsid w:val="008F6C3F"/>
    <w:rsid w:val="008F6D4D"/>
    <w:rsid w:val="008F6F2B"/>
    <w:rsid w:val="008F7A26"/>
    <w:rsid w:val="0090259C"/>
    <w:rsid w:val="009166BA"/>
    <w:rsid w:val="00930D2B"/>
    <w:rsid w:val="0094146C"/>
    <w:rsid w:val="00957E30"/>
    <w:rsid w:val="00960350"/>
    <w:rsid w:val="0096097D"/>
    <w:rsid w:val="00961875"/>
    <w:rsid w:val="00963333"/>
    <w:rsid w:val="009644BC"/>
    <w:rsid w:val="009756F1"/>
    <w:rsid w:val="009853E4"/>
    <w:rsid w:val="009873C0"/>
    <w:rsid w:val="00987804"/>
    <w:rsid w:val="009B1BE0"/>
    <w:rsid w:val="009B4D8C"/>
    <w:rsid w:val="009B590E"/>
    <w:rsid w:val="009C1762"/>
    <w:rsid w:val="009D0404"/>
    <w:rsid w:val="009D3CFE"/>
    <w:rsid w:val="009E0920"/>
    <w:rsid w:val="009E4D4C"/>
    <w:rsid w:val="009E53C8"/>
    <w:rsid w:val="009E66EB"/>
    <w:rsid w:val="009F36EE"/>
    <w:rsid w:val="009F4028"/>
    <w:rsid w:val="00A05888"/>
    <w:rsid w:val="00A16283"/>
    <w:rsid w:val="00A173DD"/>
    <w:rsid w:val="00A22672"/>
    <w:rsid w:val="00A261B6"/>
    <w:rsid w:val="00A36A2D"/>
    <w:rsid w:val="00A53C34"/>
    <w:rsid w:val="00A611B3"/>
    <w:rsid w:val="00A70665"/>
    <w:rsid w:val="00A810CB"/>
    <w:rsid w:val="00A93058"/>
    <w:rsid w:val="00A93198"/>
    <w:rsid w:val="00A96CF6"/>
    <w:rsid w:val="00AA02B6"/>
    <w:rsid w:val="00AC3E8E"/>
    <w:rsid w:val="00AD2C82"/>
    <w:rsid w:val="00AE18DD"/>
    <w:rsid w:val="00AE3625"/>
    <w:rsid w:val="00AE47D2"/>
    <w:rsid w:val="00B13057"/>
    <w:rsid w:val="00B22CA9"/>
    <w:rsid w:val="00B36670"/>
    <w:rsid w:val="00B40B8A"/>
    <w:rsid w:val="00B526D4"/>
    <w:rsid w:val="00B6271B"/>
    <w:rsid w:val="00B654ED"/>
    <w:rsid w:val="00B67E5A"/>
    <w:rsid w:val="00B72FEF"/>
    <w:rsid w:val="00B750DC"/>
    <w:rsid w:val="00B75CE9"/>
    <w:rsid w:val="00BA069D"/>
    <w:rsid w:val="00BA276C"/>
    <w:rsid w:val="00BB0CEE"/>
    <w:rsid w:val="00BB7870"/>
    <w:rsid w:val="00BB7F42"/>
    <w:rsid w:val="00BC3C5C"/>
    <w:rsid w:val="00BE5979"/>
    <w:rsid w:val="00BF26F2"/>
    <w:rsid w:val="00C0213B"/>
    <w:rsid w:val="00C20B30"/>
    <w:rsid w:val="00C22F6D"/>
    <w:rsid w:val="00C30F01"/>
    <w:rsid w:val="00C314B7"/>
    <w:rsid w:val="00C51C6F"/>
    <w:rsid w:val="00C51EA3"/>
    <w:rsid w:val="00C53F1F"/>
    <w:rsid w:val="00C66F03"/>
    <w:rsid w:val="00C8136F"/>
    <w:rsid w:val="00C87CDA"/>
    <w:rsid w:val="00C91E46"/>
    <w:rsid w:val="00C96220"/>
    <w:rsid w:val="00CA26DA"/>
    <w:rsid w:val="00CA3C98"/>
    <w:rsid w:val="00CC5A34"/>
    <w:rsid w:val="00CC7C6B"/>
    <w:rsid w:val="00CE0225"/>
    <w:rsid w:val="00CE0EE6"/>
    <w:rsid w:val="00CF20BA"/>
    <w:rsid w:val="00CF224E"/>
    <w:rsid w:val="00CF25FA"/>
    <w:rsid w:val="00D01EC1"/>
    <w:rsid w:val="00D051F9"/>
    <w:rsid w:val="00D0537D"/>
    <w:rsid w:val="00D0726F"/>
    <w:rsid w:val="00D116D9"/>
    <w:rsid w:val="00D156AB"/>
    <w:rsid w:val="00D30B73"/>
    <w:rsid w:val="00D33C4C"/>
    <w:rsid w:val="00D34B15"/>
    <w:rsid w:val="00D36C30"/>
    <w:rsid w:val="00D46E1F"/>
    <w:rsid w:val="00D5376B"/>
    <w:rsid w:val="00D63C3B"/>
    <w:rsid w:val="00D63E6E"/>
    <w:rsid w:val="00D93F82"/>
    <w:rsid w:val="00D953B6"/>
    <w:rsid w:val="00DB29F8"/>
    <w:rsid w:val="00DC3BBF"/>
    <w:rsid w:val="00DD1FBF"/>
    <w:rsid w:val="00DD6C53"/>
    <w:rsid w:val="00DE28BE"/>
    <w:rsid w:val="00DE52EE"/>
    <w:rsid w:val="00E053AB"/>
    <w:rsid w:val="00E057AB"/>
    <w:rsid w:val="00E06319"/>
    <w:rsid w:val="00E0789D"/>
    <w:rsid w:val="00E109AE"/>
    <w:rsid w:val="00E30650"/>
    <w:rsid w:val="00E34020"/>
    <w:rsid w:val="00E51C74"/>
    <w:rsid w:val="00E6071D"/>
    <w:rsid w:val="00E71C05"/>
    <w:rsid w:val="00E736AC"/>
    <w:rsid w:val="00E960CF"/>
    <w:rsid w:val="00EA3743"/>
    <w:rsid w:val="00EB2707"/>
    <w:rsid w:val="00EB6715"/>
    <w:rsid w:val="00ED04BF"/>
    <w:rsid w:val="00EE1827"/>
    <w:rsid w:val="00F240F1"/>
    <w:rsid w:val="00F258D6"/>
    <w:rsid w:val="00F32C5B"/>
    <w:rsid w:val="00F4245F"/>
    <w:rsid w:val="00F4372B"/>
    <w:rsid w:val="00F622DF"/>
    <w:rsid w:val="00F643E5"/>
    <w:rsid w:val="00F654D8"/>
    <w:rsid w:val="00F66B55"/>
    <w:rsid w:val="00F733DA"/>
    <w:rsid w:val="00FC351E"/>
    <w:rsid w:val="00FD06B5"/>
    <w:rsid w:val="00FD3DE2"/>
    <w:rsid w:val="00FE0886"/>
    <w:rsid w:val="00FE31FB"/>
    <w:rsid w:val="00FE7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4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647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kylin</cp:lastModifiedBy>
  <cp:revision>1</cp:revision>
  <dcterms:created xsi:type="dcterms:W3CDTF">2023-10-07T06:34:00Z</dcterms:created>
  <dcterms:modified xsi:type="dcterms:W3CDTF">2023-10-07T06:36:00Z</dcterms:modified>
</cp:coreProperties>
</file>